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630AE" w14:textId="39C5D834" w:rsidR="00F65ED6" w:rsidRDefault="00F65ED6" w:rsidP="00F65ED6">
      <w:pPr>
        <w:pStyle w:val="Heading1"/>
      </w:pPr>
      <w:r>
        <w:t>Credit Creation Theory of Banking</w:t>
      </w:r>
    </w:p>
    <w:p w14:paraId="214D5A5A" w14:textId="0FFB505F" w:rsidR="004F3B38" w:rsidRDefault="00F65ED6" w:rsidP="0015416F">
      <w:r>
        <w:rPr>
          <w:rFonts w:cstheme="minorHAnsi"/>
        </w:rPr>
        <w:t>©</w:t>
      </w:r>
      <w:r>
        <w:t xml:space="preserve"> Copyright </w:t>
      </w:r>
      <w:r w:rsidR="00F76939">
        <w:t>Maurice Starkey</w:t>
      </w:r>
      <w:r>
        <w:t xml:space="preserve"> 2018</w:t>
      </w:r>
      <w:r w:rsidR="008903B0">
        <w:t xml:space="preserve"> and a</w:t>
      </w:r>
      <w:r w:rsidR="006226CF">
        <w:t>vailable</w:t>
      </w:r>
      <w:r w:rsidR="004F3B38">
        <w:t xml:space="preserve"> </w:t>
      </w:r>
      <w:r w:rsidR="008903B0">
        <w:t xml:space="preserve">for reproduction </w:t>
      </w:r>
      <w:r w:rsidR="004F3B38">
        <w:t>under a Creative Commons copyright license.</w:t>
      </w:r>
    </w:p>
    <w:p w14:paraId="0BF553FC" w14:textId="4B3CA2A0" w:rsidR="00F76939" w:rsidRDefault="00F76939" w:rsidP="00F76939">
      <w:pPr>
        <w:pStyle w:val="Heading2"/>
      </w:pPr>
      <w:r>
        <w:t>What is Money?</w:t>
      </w:r>
    </w:p>
    <w:p w14:paraId="3F5D1F6C" w14:textId="18A4F91C" w:rsidR="0015416F" w:rsidRDefault="00E43DED" w:rsidP="0015416F">
      <w:r>
        <w:t xml:space="preserve">Money within the economy can take several forms. </w:t>
      </w:r>
      <w:r w:rsidR="0015416F">
        <w:t xml:space="preserve">Cash (notes and coins) accounts for only </w:t>
      </w:r>
      <w:r w:rsidR="004551CB">
        <w:t>3</w:t>
      </w:r>
      <w:r w:rsidR="0015416F">
        <w:t xml:space="preserve">% of the money in circulation, whilst the remaining </w:t>
      </w:r>
      <w:r w:rsidR="004551CB">
        <w:t>9</w:t>
      </w:r>
      <w:r w:rsidR="00573384">
        <w:t>7</w:t>
      </w:r>
      <w:r w:rsidR="0015416F">
        <w:t>% of the money in circulation within the United Kingdom economy comprises of credit money that has been created by banks</w:t>
      </w:r>
      <w:sdt>
        <w:sdtPr>
          <w:id w:val="317936076"/>
          <w:citation/>
        </w:sdtPr>
        <w:sdtEndPr/>
        <w:sdtContent>
          <w:r w:rsidR="00EF1DF8">
            <w:fldChar w:fldCharType="begin"/>
          </w:r>
          <w:r w:rsidR="00EF1DF8">
            <w:instrText xml:space="preserve"> CITATION Rya11 \l 2057 </w:instrText>
          </w:r>
          <w:r w:rsidR="00EF1DF8">
            <w:fldChar w:fldCharType="separate"/>
          </w:r>
          <w:r w:rsidR="00EF1DF8">
            <w:rPr>
              <w:noProof/>
            </w:rPr>
            <w:t xml:space="preserve"> (Ryan-Collins, Greenham, Werner, &amp; Jackson, 2011)</w:t>
          </w:r>
          <w:r w:rsidR="00EF1DF8">
            <w:fldChar w:fldCharType="end"/>
          </w:r>
        </w:sdtContent>
      </w:sdt>
      <w:r w:rsidR="0015416F">
        <w:t>.</w:t>
      </w:r>
    </w:p>
    <w:p w14:paraId="1DF2CB03" w14:textId="47E8CA63" w:rsidR="00F76939" w:rsidRDefault="00F76939" w:rsidP="0015416F">
      <w:r w:rsidRPr="00F76939">
        <w:rPr>
          <w:noProof/>
        </w:rPr>
        <mc:AlternateContent>
          <mc:Choice Requires="wps">
            <w:drawing>
              <wp:anchor distT="0" distB="0" distL="114300" distR="114300" simplePos="0" relativeHeight="251663360" behindDoc="0" locked="0" layoutInCell="1" allowOverlap="1" wp14:anchorId="1A2A05B2" wp14:editId="2CDDC225">
                <wp:simplePos x="0" y="0"/>
                <wp:positionH relativeFrom="column">
                  <wp:posOffset>3867150</wp:posOffset>
                </wp:positionH>
                <wp:positionV relativeFrom="paragraph">
                  <wp:posOffset>2922269</wp:posOffset>
                </wp:positionV>
                <wp:extent cx="1895475" cy="295275"/>
                <wp:effectExtent l="0" t="0" r="0" b="0"/>
                <wp:wrapNone/>
                <wp:docPr id="8" name="TextBox 3">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895475"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44419B9" w14:textId="77777777" w:rsidR="00F76939" w:rsidRDefault="00F76939" w:rsidP="00F76939">
                            <w:pPr>
                              <w:pStyle w:val="NormalWeb"/>
                              <w:spacing w:before="0" w:beforeAutospacing="0" w:after="0" w:afterAutospacing="0"/>
                            </w:pPr>
                            <w:r>
                              <w:rPr>
                                <w:rFonts w:asciiTheme="minorHAnsi" w:hAnsi="Calibri" w:cstheme="minorBidi"/>
                                <w:color w:val="000000" w:themeColor="dark1"/>
                                <w:sz w:val="22"/>
                                <w:szCs w:val="22"/>
                              </w:rPr>
                              <w:t>Notes and coins in circulation</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1A2A05B2" id="_x0000_t202" coordsize="21600,21600" o:spt="202" path="m,l,21600r21600,l21600,xe">
                <v:stroke joinstyle="miter"/>
                <v:path gradientshapeok="t" o:connecttype="rect"/>
              </v:shapetype>
              <v:shape id="TextBox 3" o:spid="_x0000_s1026" type="#_x0000_t202" style="position:absolute;left:0;text-align:left;margin-left:304.5pt;margin-top:230.1pt;width:149.25pt;height:2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" filled="f" stroked="f">
                <v:textbox>
                  <w:txbxContent>
                    <w:p w14:paraId="444419B9" w14:textId="77777777" w:rsidR="00F76939" w:rsidRDefault="00F76939" w:rsidP="00F76939">
                      <w:pPr>
                        <w:pStyle w:val="NormalWeb"/>
                        <w:spacing w:before="0" w:beforeAutospacing="0" w:after="0" w:afterAutospacing="0"/>
                      </w:pPr>
                      <w:r>
                        <w:rPr>
                          <w:rFonts w:asciiTheme="minorHAnsi" w:hAnsi="Calibri" w:cstheme="minorBidi"/>
                          <w:color w:val="000000" w:themeColor="dark1"/>
                          <w:sz w:val="22"/>
                          <w:szCs w:val="22"/>
                        </w:rPr>
                        <w:t>Notes and coins in circulation</w:t>
                      </w:r>
                    </w:p>
                  </w:txbxContent>
                </v:textbox>
              </v:shape>
            </w:pict>
          </mc:Fallback>
        </mc:AlternateContent>
      </w:r>
      <w:r w:rsidRPr="00F76939">
        <w:rPr>
          <w:noProof/>
        </w:rPr>
        <mc:AlternateContent>
          <mc:Choice Requires="wps">
            <w:drawing>
              <wp:anchor distT="0" distB="0" distL="114300" distR="114300" simplePos="0" relativeHeight="251662336" behindDoc="0" locked="0" layoutInCell="1" allowOverlap="1" wp14:anchorId="1F2AAF90" wp14:editId="16D28785">
                <wp:simplePos x="0" y="0"/>
                <wp:positionH relativeFrom="margin">
                  <wp:align>right</wp:align>
                </wp:positionH>
                <wp:positionV relativeFrom="paragraph">
                  <wp:posOffset>2014855</wp:posOffset>
                </wp:positionV>
                <wp:extent cx="1447165" cy="314325"/>
                <wp:effectExtent l="0" t="0" r="0" b="0"/>
                <wp:wrapNone/>
                <wp:docPr id="7"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447165" cy="314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4C69913" w14:textId="77777777" w:rsidR="00F76939" w:rsidRDefault="00F76939" w:rsidP="00F76939">
                            <w:pPr>
                              <w:pStyle w:val="NormalWeb"/>
                              <w:spacing w:before="0" w:beforeAutospacing="0" w:after="0" w:afterAutospacing="0"/>
                            </w:pPr>
                            <w:r>
                              <w:rPr>
                                <w:rFonts w:asciiTheme="minorHAnsi" w:hAnsi="Calibri" w:cstheme="minorBidi"/>
                                <w:color w:val="000000" w:themeColor="dark1"/>
                                <w:sz w:val="32"/>
                                <w:szCs w:val="32"/>
                              </w:rPr>
                              <w:t>Bank deposits</w:t>
                            </w:r>
                          </w:p>
                        </w:txbxContent>
                      </wps:txbx>
                      <wps:bodyPr vertOverflow="clip" horzOverflow="clip" wrap="square" rtlCol="0" anchor="t"/>
                    </wps:wsp>
                  </a:graphicData>
                </a:graphic>
              </wp:anchor>
            </w:drawing>
          </mc:Choice>
          <mc:Fallback>
            <w:pict>
              <v:shape w14:anchorId="1F2AAF90" id="TextBox 2" o:spid="_x0000_s1027" type="#_x0000_t202" style="position:absolute;left:0;text-align:left;margin-left:62.75pt;margin-top:158.65pt;width:113.95pt;height:24.75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" filled="f" stroked="f">
                <v:textbox>
                  <w:txbxContent>
                    <w:p w14:paraId="04C69913" w14:textId="77777777" w:rsidR="00F76939" w:rsidRDefault="00F76939" w:rsidP="00F76939">
                      <w:pPr>
                        <w:pStyle w:val="NormalWeb"/>
                        <w:spacing w:before="0" w:beforeAutospacing="0" w:after="0" w:afterAutospacing="0"/>
                      </w:pPr>
                      <w:r>
                        <w:rPr>
                          <w:rFonts w:asciiTheme="minorHAnsi" w:hAnsi="Calibri" w:cstheme="minorBidi"/>
                          <w:color w:val="000000" w:themeColor="dark1"/>
                          <w:sz w:val="32"/>
                          <w:szCs w:val="32"/>
                        </w:rPr>
                        <w:t>Bank deposits</w:t>
                      </w:r>
                    </w:p>
                  </w:txbxContent>
                </v:textbox>
                <w10:wrap anchorx="margin"/>
              </v:shape>
            </w:pict>
          </mc:Fallback>
        </mc:AlternateContent>
      </w:r>
      <w:r w:rsidR="00845D48">
        <w:rPr>
          <w:noProof/>
        </w:rPr>
        <w:drawing>
          <wp:inline distT="0" distB="0" distL="0" distR="0" wp14:anchorId="15AD376E" wp14:editId="0BABB43C">
            <wp:extent cx="5731510" cy="4003675"/>
            <wp:effectExtent l="0" t="0" r="2540" b="15875"/>
            <wp:docPr id="3" name="Chart 3">
              <a:extLst xmlns:a="http://schemas.openxmlformats.org/drawingml/2006/main">
                <a:ext uri="{FF2B5EF4-FFF2-40B4-BE49-F238E27FC236}">
                  <a16:creationId xmlns:a16="http://schemas.microsoft.com/office/drawing/2014/main" id="{4D1D9847-29EA-481B-837C-F4EFD6BE97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8A9066A" w14:textId="4DA919B8" w:rsidR="00845D48" w:rsidRDefault="00845D48" w:rsidP="0015416F">
      <w:r>
        <w:t xml:space="preserve">Source: Bank of England </w:t>
      </w:r>
      <w:sdt>
        <w:sdtPr>
          <w:id w:val="1022279231"/>
          <w:citation/>
        </w:sdtPr>
        <w:sdtEndPr/>
        <w:sdtContent>
          <w:r>
            <w:fldChar w:fldCharType="begin"/>
          </w:r>
          <w:r>
            <w:instrText xml:space="preserve"> CITATION Ban18 \l 2057 </w:instrText>
          </w:r>
          <w:r>
            <w:fldChar w:fldCharType="separate"/>
          </w:r>
          <w:r>
            <w:rPr>
              <w:noProof/>
            </w:rPr>
            <w:t>(Bank of England, 2018)</w:t>
          </w:r>
          <w:r>
            <w:fldChar w:fldCharType="end"/>
          </w:r>
        </w:sdtContent>
      </w:sdt>
      <w:r>
        <w:rPr>
          <w:rStyle w:val="EndnoteReference"/>
        </w:rPr>
        <w:endnoteReference w:id="1"/>
      </w:r>
    </w:p>
    <w:p w14:paraId="594FDF07" w14:textId="77777777" w:rsidR="000417C3" w:rsidRDefault="00E43DED" w:rsidP="009F1CBB">
      <w:r>
        <w:t>As previously stated, c</w:t>
      </w:r>
      <w:r w:rsidR="009F1CBB">
        <w:t xml:space="preserve">ash (bank notes and coins) account for approximately 3% of the money in circulation. Bank notes account for approximately 94% of the total cash in circulation, whilst coins account for the remaining 6% of cash in circulation. </w:t>
      </w:r>
    </w:p>
    <w:p w14:paraId="003DA479" w14:textId="7A03493A" w:rsidR="009F1CBB" w:rsidRDefault="009F1CBB" w:rsidP="009F1CBB">
      <w:r>
        <w:t>Central bank reserves refer to commercial bank reserves that are held at the central bank (Bank of England in the United Kingdom)</w:t>
      </w:r>
      <w:r w:rsidR="000417C3">
        <w:t xml:space="preserve">, which are </w:t>
      </w:r>
      <w:r w:rsidR="001630E0">
        <w:t>presented</w:t>
      </w:r>
      <w:r w:rsidR="000417C3">
        <w:t xml:space="preserve"> in the central bank’s electronic record of the amount owed by the central bank to each commercial bank to</w:t>
      </w:r>
      <w:r>
        <w:t xml:space="preserve"> facilitate large scale payments between commercial banks. </w:t>
      </w:r>
      <w:r w:rsidR="00E43DED">
        <w:t>C</w:t>
      </w:r>
      <w:r>
        <w:t xml:space="preserve">entral bank reserves </w:t>
      </w:r>
      <w:r w:rsidR="00E43DED">
        <w:t>are</w:t>
      </w:r>
      <w:r>
        <w:t xml:space="preserve"> used to settle net amounts owed between commercial banks at the end of each </w:t>
      </w:r>
      <w:r w:rsidR="009D4E1B">
        <w:t xml:space="preserve">working </w:t>
      </w:r>
      <w:r>
        <w:t xml:space="preserve">day. </w:t>
      </w:r>
      <w:r w:rsidR="009D4E1B">
        <w:t>C</w:t>
      </w:r>
      <w:r>
        <w:t xml:space="preserve">entral bank reserves do not circulate in the </w:t>
      </w:r>
      <w:r w:rsidR="00726EDC">
        <w:t xml:space="preserve">wider </w:t>
      </w:r>
      <w:r>
        <w:t>economy</w:t>
      </w:r>
      <w:r w:rsidR="00726EDC">
        <w:t xml:space="preserve"> outside of the banking system</w:t>
      </w:r>
      <w:r w:rsidR="00E43DED">
        <w:t>, and so are not considered when presenting the total amount of money circulating within the economy</w:t>
      </w:r>
      <w:r>
        <w:t xml:space="preserve">. </w:t>
      </w:r>
      <w:r w:rsidR="00726EDC">
        <w:t>However</w:t>
      </w:r>
      <w:r>
        <w:t>, the central bank will convert electronic central bank reserves into physical notes and coins that circulate within the economy, at the request of a commercial bank. Commercial banks will request this conversion of central bank reserves into cash (bank notes and coins</w:t>
      </w:r>
      <w:r w:rsidR="004F3B38">
        <w:t>) when</w:t>
      </w:r>
      <w:r>
        <w:t xml:space="preserve"> commercial banks require additional cash to satisfy the general publics </w:t>
      </w:r>
      <w:r>
        <w:lastRenderedPageBreak/>
        <w:t>demand for cash. Central bank money, which is also referred to as base money, comprise</w:t>
      </w:r>
      <w:r w:rsidR="00E43DED">
        <w:t>s</w:t>
      </w:r>
      <w:r>
        <w:t xml:space="preserve"> of </w:t>
      </w:r>
      <w:r w:rsidR="00E43DED">
        <w:t xml:space="preserve">both </w:t>
      </w:r>
      <w:r>
        <w:t>cash and central bank reserves.</w:t>
      </w:r>
    </w:p>
    <w:p w14:paraId="11A8DE2F" w14:textId="5A563192" w:rsidR="00E43DED" w:rsidRDefault="008848D1" w:rsidP="009F1CBB">
      <w:r>
        <w:t xml:space="preserve">Bank deposits account for approximately 97% of the money supply in the United Kingdom economy. </w:t>
      </w:r>
      <w:r w:rsidR="000417C3" w:rsidRPr="000417C3">
        <w:t>Bank deposits are sometimes referred to as ‘credit money</w:t>
      </w:r>
      <w:proofErr w:type="gramStart"/>
      <w:r w:rsidR="000417C3" w:rsidRPr="000417C3">
        <w:t>’, because</w:t>
      </w:r>
      <w:proofErr w:type="gramEnd"/>
      <w:r w:rsidR="000417C3" w:rsidRPr="000417C3">
        <w:t xml:space="preserve"> the majority of bank deposits were originally created by banks issuing new loans.</w:t>
      </w:r>
      <w:r w:rsidR="000417C3" w:rsidRPr="00E43DED">
        <w:t xml:space="preserve"> </w:t>
      </w:r>
      <w:r w:rsidR="000417C3" w:rsidRPr="001630E0">
        <w:rPr>
          <w:b/>
        </w:rPr>
        <w:t>A bank creates credit money when generating a bank deposit that is a consequence of fulfilling a loan agreement, extending an overdraft facility, or purchasing assets</w:t>
      </w:r>
      <w:r w:rsidR="000417C3">
        <w:t xml:space="preserve">. </w:t>
      </w:r>
      <w:r w:rsidR="0032382B" w:rsidRPr="001630E0">
        <w:t>Credit money</w:t>
      </w:r>
      <w:r w:rsidR="0032382B">
        <w:t xml:space="preserve"> represents the total amount of money that is owed to banks by borrowers. </w:t>
      </w:r>
      <w:r w:rsidR="00E43DED">
        <w:t xml:space="preserve">Credit money is sometimes referred to as fountain pen money, because it is created with a stroke of a banker’s pen (or more usually today, by inserting numbers into a computer). The term credit money is a consequence of commercial bank’s IOU only remaining valid whilst the bank remains solvent. Bankruptcy of a bank would destroy a significant proportion, if not all, of the credit money created by a bank. </w:t>
      </w:r>
      <w:r w:rsidR="001630E0">
        <w:t>T</w:t>
      </w:r>
      <w:r w:rsidR="009D4E1B">
        <w:t xml:space="preserve">he credit money component of </w:t>
      </w:r>
      <w:r w:rsidR="00E43DED">
        <w:t xml:space="preserve">money supply is reduced when </w:t>
      </w:r>
      <w:r w:rsidR="00F76939">
        <w:t>money borrowed from a bank is</w:t>
      </w:r>
      <w:r w:rsidR="00E43DED">
        <w:t xml:space="preserve"> repaid.</w:t>
      </w:r>
    </w:p>
    <w:p w14:paraId="04364DD2" w14:textId="2D6CAEA0" w:rsidR="00F90437" w:rsidRDefault="00E43DED" w:rsidP="009F1CBB">
      <w:r>
        <w:t xml:space="preserve">Bank deposits represent an IOU between a commercial bank and their customers, with customers including both individuals and organisations. Bank deposits can take a variety of forms, including current and deposit accounts. However, the government guarantees through the Financial Services Compensation Scheme the first £85,000 of an individual’s bank deposits, which can be considered to be money due to the government guaranteeing repayment of the money.  Therefore, the term credit money only </w:t>
      </w:r>
      <w:r w:rsidR="00841A1A">
        <w:t xml:space="preserve">strictly </w:t>
      </w:r>
      <w:r>
        <w:t xml:space="preserve">applies to </w:t>
      </w:r>
      <w:r w:rsidR="008848D1">
        <w:t xml:space="preserve">the </w:t>
      </w:r>
      <w:r>
        <w:t xml:space="preserve">amount of an individual’s deposits with a bank that exceeds the £85,000 limit of the Financial Services Compensation Scheme. </w:t>
      </w:r>
    </w:p>
    <w:p w14:paraId="34F18624" w14:textId="1B14B366" w:rsidR="00F76939" w:rsidRDefault="00F76939" w:rsidP="00F76939">
      <w:pPr>
        <w:pStyle w:val="Heading2"/>
      </w:pPr>
      <w:r>
        <w:t>Credit Creation Theory of Banking</w:t>
      </w:r>
    </w:p>
    <w:p w14:paraId="552BD4D0" w14:textId="5207354A" w:rsidR="00A34B0C" w:rsidRDefault="00A34B0C">
      <w:r>
        <w:t xml:space="preserve">Whilst most textbooks discuss the money multiplier theory of credit creation, there is limited consideration within academic </w:t>
      </w:r>
      <w:r w:rsidR="008848D1">
        <w:t>textbooks</w:t>
      </w:r>
      <w:r>
        <w:t xml:space="preserve"> of the credit creation theory of banking. However, the Bank of England recently issued a paper which recognises the credit creation theory of banking as a useful theory for understanding the process of money creation</w:t>
      </w:r>
      <w:sdt>
        <w:sdtPr>
          <w:id w:val="-754507137"/>
          <w:citation/>
        </w:sdtPr>
        <w:sdtEndPr/>
        <w:sdtContent>
          <w:r w:rsidR="00790CD8">
            <w:fldChar w:fldCharType="begin"/>
          </w:r>
          <w:r w:rsidR="00790CD8">
            <w:instrText xml:space="preserve"> CITATION McL14 \l 2057 </w:instrText>
          </w:r>
          <w:r w:rsidR="00790CD8">
            <w:fldChar w:fldCharType="separate"/>
          </w:r>
          <w:r w:rsidR="00790CD8">
            <w:rPr>
              <w:noProof/>
            </w:rPr>
            <w:t xml:space="preserve"> (McLeay, Radia, &amp; Thomas, 2014)</w:t>
          </w:r>
          <w:r w:rsidR="00790CD8">
            <w:fldChar w:fldCharType="end"/>
          </w:r>
        </w:sdtContent>
      </w:sdt>
      <w:r>
        <w:t xml:space="preserve">. </w:t>
      </w:r>
    </w:p>
    <w:p w14:paraId="0ABF4F6A" w14:textId="0F3A1AA2" w:rsidR="000F6EFD" w:rsidRDefault="009B363A">
      <w:r>
        <w:t>Credit creation theory of banking proposes that individual banks can create money</w:t>
      </w:r>
      <w:r w:rsidR="00D9284E">
        <w:t>, and</w:t>
      </w:r>
      <w:r w:rsidR="000F6EFD">
        <w:t xml:space="preserve"> banks do not solely lend out deposits that have been provided to the bank. Instead, the bank creates bank deposits as a consequence of bank lending. Consequently, </w:t>
      </w:r>
      <w:r w:rsidR="00D9284E">
        <w:t>the amount of money that a bank can create is not constrained by their deposit taking activities, and t</w:t>
      </w:r>
      <w:r w:rsidR="000F6EFD">
        <w:t>he act of bank lending creates new purchasing power that did not previously exist.</w:t>
      </w:r>
      <w:r w:rsidR="00790CD8">
        <w:t xml:space="preserve"> The repayment of existing debt destroys money, as a consequence of reducing bank </w:t>
      </w:r>
      <w:r w:rsidR="0032382B">
        <w:t>loans (</w:t>
      </w:r>
      <w:r w:rsidR="00790CD8">
        <w:t>asset</w:t>
      </w:r>
      <w:r w:rsidR="0032382B">
        <w:t xml:space="preserve"> </w:t>
      </w:r>
      <w:r w:rsidR="00790CD8">
        <w:t>s</w:t>
      </w:r>
      <w:r w:rsidR="0032382B">
        <w:t>ide of balance sheet</w:t>
      </w:r>
      <w:r w:rsidR="00790CD8">
        <w:t>) and customer deposits (liability side of the bank balance sheet).</w:t>
      </w:r>
    </w:p>
    <w:p w14:paraId="0831858C" w14:textId="6BE3AC64" w:rsidR="00D5591C" w:rsidRDefault="00D9284E">
      <w:r>
        <w:t>A b</w:t>
      </w:r>
      <w:r w:rsidR="000F6EFD">
        <w:t>ank</w:t>
      </w:r>
      <w:r>
        <w:t>’</w:t>
      </w:r>
      <w:r w:rsidR="000F6EFD">
        <w:t xml:space="preserve">s ability to create new money, which is referred to as </w:t>
      </w:r>
      <w:r w:rsidR="00AC62AF">
        <w:t>‘</w:t>
      </w:r>
      <w:r w:rsidR="000F6EFD">
        <w:t>credit money’,</w:t>
      </w:r>
      <w:r w:rsidR="009B363A">
        <w:t xml:space="preserve"> is a consequence of a range of factors</w:t>
      </w:r>
      <w:r w:rsidR="000F6EFD">
        <w:t>.</w:t>
      </w:r>
      <w:r w:rsidR="00394716">
        <w:t xml:space="preserve"> </w:t>
      </w:r>
      <w:r w:rsidR="00D5591C">
        <w:t xml:space="preserve">Firstly, </w:t>
      </w:r>
      <w:r w:rsidR="00D5591C" w:rsidRPr="000F6EFD">
        <w:rPr>
          <w:b/>
        </w:rPr>
        <w:t>non-cash transactions account for more than 95% of all transactions conducted within the economy</w:t>
      </w:r>
      <w:r w:rsidR="00D5591C">
        <w:t xml:space="preserve">, </w:t>
      </w:r>
      <w:r w:rsidR="000F6EFD">
        <w:t>w</w:t>
      </w:r>
      <w:r>
        <w:t>ith non-cash transactions being</w:t>
      </w:r>
      <w:r w:rsidR="000F6EFD">
        <w:t xml:space="preserve"> </w:t>
      </w:r>
      <w:r w:rsidR="00D5591C" w:rsidRPr="000F6EFD">
        <w:rPr>
          <w:b/>
        </w:rPr>
        <w:t>settled through non-cash transfers within the banking system</w:t>
      </w:r>
      <w:r w:rsidR="00D5591C">
        <w:t xml:space="preserve">. </w:t>
      </w:r>
      <w:r w:rsidR="00AC62AF" w:rsidRPr="00AC62AF">
        <w:t>Banks’ ability to create credit money arises from combining lending and deposit taking activities</w:t>
      </w:r>
      <w:r w:rsidR="00AC62AF">
        <w:t>.</w:t>
      </w:r>
      <w:r w:rsidR="00AC62AF" w:rsidRPr="00AC62AF">
        <w:t xml:space="preserve"> </w:t>
      </w:r>
      <w:r w:rsidR="00D5591C">
        <w:t>Banks</w:t>
      </w:r>
      <w:r w:rsidR="000F6EFD">
        <w:t>’</w:t>
      </w:r>
      <w:r w:rsidR="00D5591C">
        <w:t xml:space="preserve"> act as the </w:t>
      </w:r>
      <w:r w:rsidR="000F6EFD">
        <w:t>‘</w:t>
      </w:r>
      <w:r w:rsidR="00D5591C" w:rsidRPr="000F6EFD">
        <w:rPr>
          <w:b/>
        </w:rPr>
        <w:t>accountant of record</w:t>
      </w:r>
      <w:r w:rsidR="000F6EFD">
        <w:t>’</w:t>
      </w:r>
      <w:r w:rsidR="00D5591C">
        <w:t xml:space="preserve"> within the </w:t>
      </w:r>
      <w:r w:rsidR="00D5591C" w:rsidRPr="000F6EFD">
        <w:rPr>
          <w:b/>
        </w:rPr>
        <w:t>financial system</w:t>
      </w:r>
      <w:r w:rsidR="00D5591C">
        <w:t xml:space="preserve">, which enables banks to create the fiction that the borrower deposited money at the bank. Members of the public are unable to distinguish between money that a bank </w:t>
      </w:r>
      <w:r w:rsidR="00BE6983">
        <w:t xml:space="preserve">has </w:t>
      </w:r>
      <w:r w:rsidR="00D5591C">
        <w:t>created, and money saved at the bank by depositors.</w:t>
      </w:r>
      <w:r w:rsidR="00394716">
        <w:t xml:space="preserve"> </w:t>
      </w:r>
    </w:p>
    <w:p w14:paraId="286731AA" w14:textId="5434DA2F" w:rsidR="001B1549" w:rsidRDefault="00D9284E">
      <w:bookmarkStart w:id="0" w:name="_Hlk512615493"/>
      <w:r>
        <w:t xml:space="preserve">Banks’ ability to create credit money </w:t>
      </w:r>
      <w:r w:rsidR="00AC62AF">
        <w:t xml:space="preserve">is </w:t>
      </w:r>
      <w:r w:rsidR="004551CB">
        <w:t xml:space="preserve">also </w:t>
      </w:r>
      <w:r w:rsidR="00AC62AF">
        <w:t>a consequence of</w:t>
      </w:r>
      <w:bookmarkEnd w:id="0"/>
      <w:r>
        <w:t xml:space="preserve"> being </w:t>
      </w:r>
      <w:r w:rsidRPr="000F6EFD">
        <w:rPr>
          <w:b/>
        </w:rPr>
        <w:t xml:space="preserve">exempt from the </w:t>
      </w:r>
      <w:r w:rsidR="000E7DA0">
        <w:rPr>
          <w:b/>
        </w:rPr>
        <w:t>‘</w:t>
      </w:r>
      <w:r w:rsidRPr="000F6EFD">
        <w:rPr>
          <w:b/>
        </w:rPr>
        <w:t>client money rules</w:t>
      </w:r>
      <w:r w:rsidR="000E7DA0">
        <w:rPr>
          <w:b/>
        </w:rPr>
        <w:t>’</w:t>
      </w:r>
      <w:r>
        <w:t xml:space="preserve">. </w:t>
      </w:r>
      <w:r w:rsidR="00D5591C">
        <w:t xml:space="preserve">Regulations in the form of the </w:t>
      </w:r>
      <w:r w:rsidR="00AC62AF">
        <w:t>c</w:t>
      </w:r>
      <w:r w:rsidR="00D5591C">
        <w:t xml:space="preserve">lient </w:t>
      </w:r>
      <w:r w:rsidR="00AC62AF">
        <w:t>m</w:t>
      </w:r>
      <w:r w:rsidR="00D5591C">
        <w:t xml:space="preserve">oney rules prevent non-bank organisations creating credit money, because non-bank organisations (for example, </w:t>
      </w:r>
      <w:r w:rsidR="000E7DA0">
        <w:t xml:space="preserve">stockbrokers, </w:t>
      </w:r>
      <w:r w:rsidR="00D5591C">
        <w:t>solicitors and accountants) are required to keep clients</w:t>
      </w:r>
      <w:r w:rsidR="001B1549">
        <w:t>’</w:t>
      </w:r>
      <w:r w:rsidR="00D5591C">
        <w:t xml:space="preserve"> money separate from the non-bank organisation’s assets and liabilities</w:t>
      </w:r>
      <w:r>
        <w:t xml:space="preserve"> </w:t>
      </w:r>
      <w:r>
        <w:lastRenderedPageBreak/>
        <w:t>on their balance sheet</w:t>
      </w:r>
      <w:r w:rsidR="00D5591C">
        <w:t>.</w:t>
      </w:r>
      <w:r w:rsidR="001B1549">
        <w:t xml:space="preserve"> However, banks</w:t>
      </w:r>
      <w:r w:rsidR="00EB4C89">
        <w:t>’</w:t>
      </w:r>
      <w:r w:rsidR="001B1549">
        <w:t xml:space="preserve"> exemption from the client money rules enable banks to </w:t>
      </w:r>
      <w:r w:rsidR="0055492B">
        <w:t>relabel liabilities o</w:t>
      </w:r>
      <w:r w:rsidR="001B1549">
        <w:t>n the</w:t>
      </w:r>
      <w:r w:rsidR="00335DC1">
        <w:t>ir</w:t>
      </w:r>
      <w:r w:rsidR="001B1549">
        <w:t xml:space="preserve"> balance sheet</w:t>
      </w:r>
      <w:r w:rsidR="0055492B">
        <w:t xml:space="preserve"> at different stages of the process </w:t>
      </w:r>
      <w:r w:rsidR="000124F9">
        <w:t>when</w:t>
      </w:r>
      <w:r w:rsidR="0055492B">
        <w:t xml:space="preserve"> extending</w:t>
      </w:r>
      <w:r w:rsidR="000124F9">
        <w:t xml:space="preserve"> a</w:t>
      </w:r>
      <w:r w:rsidR="0055492B">
        <w:t xml:space="preserve"> loan, which enables banks to expand their balance sheets</w:t>
      </w:r>
      <w:sdt>
        <w:sdtPr>
          <w:id w:val="-1507355396"/>
          <w:citation/>
        </w:sdtPr>
        <w:sdtEndPr/>
        <w:sdtContent>
          <w:r w:rsidR="000F6EFD">
            <w:fldChar w:fldCharType="begin"/>
          </w:r>
          <w:r w:rsidR="000F6EFD">
            <w:instrText xml:space="preserve"> CITATION Wer14 \l 2057 </w:instrText>
          </w:r>
          <w:r w:rsidR="000F6EFD">
            <w:fldChar w:fldCharType="separate"/>
          </w:r>
          <w:r w:rsidR="000F6EFD">
            <w:rPr>
              <w:noProof/>
            </w:rPr>
            <w:t xml:space="preserve"> (Werner, 2014)</w:t>
          </w:r>
          <w:r w:rsidR="000F6EFD">
            <w:fldChar w:fldCharType="end"/>
          </w:r>
        </w:sdtContent>
      </w:sdt>
      <w:r w:rsidR="000F6EFD">
        <w:t xml:space="preserve">. </w:t>
      </w:r>
      <w:r>
        <w:t>Exemption from the client money rules enable</w:t>
      </w:r>
      <w:r w:rsidR="00EB4C89">
        <w:t>s</w:t>
      </w:r>
      <w:r>
        <w:t xml:space="preserve"> bank</w:t>
      </w:r>
      <w:r w:rsidR="0032382B">
        <w:t>s</w:t>
      </w:r>
      <w:r>
        <w:t xml:space="preserve"> to rename their account payable liability as a customer deposit, despite </w:t>
      </w:r>
      <w:bookmarkStart w:id="1" w:name="_GoBack"/>
      <w:r w:rsidR="000124F9">
        <w:t>the money not</w:t>
      </w:r>
      <w:r>
        <w:t xml:space="preserve"> </w:t>
      </w:r>
      <w:r w:rsidR="000124F9">
        <w:t xml:space="preserve">being a consequence of a </w:t>
      </w:r>
      <w:r>
        <w:t>customer ma</w:t>
      </w:r>
      <w:r w:rsidR="000124F9">
        <w:t>king</w:t>
      </w:r>
      <w:r>
        <w:t xml:space="preserve"> a deposit</w:t>
      </w:r>
      <w:bookmarkEnd w:id="1"/>
      <w:r>
        <w:t>. There is no law, statute or banking regulation that allows banks to reclassify their bank liabilities (accounts payable) as a fictitious customer deposit. Consequently, the legality of banks creating credit money is unclear. Banks exemption from the client money rules</w:t>
      </w:r>
      <w:r w:rsidR="001B1549">
        <w:t xml:space="preserve"> also mean</w:t>
      </w:r>
      <w:r w:rsidR="00AC62AF">
        <w:t>s</w:t>
      </w:r>
      <w:r w:rsidR="001B1549">
        <w:t xml:space="preserve"> that when a customer deposits money at their bank, the customer no longer owns the money and becomes a </w:t>
      </w:r>
      <w:r w:rsidR="00C17D5C">
        <w:t xml:space="preserve">general </w:t>
      </w:r>
      <w:r w:rsidR="001B1549">
        <w:t xml:space="preserve">creditor of the bank. </w:t>
      </w:r>
    </w:p>
    <w:p w14:paraId="75EACA91" w14:textId="508901C2" w:rsidR="0041058C" w:rsidRDefault="001B1549">
      <w:r>
        <w:t xml:space="preserve">The following process represents the </w:t>
      </w:r>
      <w:r w:rsidR="00AC62AF">
        <w:t xml:space="preserve">bank’s </w:t>
      </w:r>
      <w:r>
        <w:t>accounting entries associated with provi</w:t>
      </w:r>
      <w:r w:rsidR="00AC62AF">
        <w:t>sion of</w:t>
      </w:r>
      <w:r>
        <w:t xml:space="preserve"> a loan. The initial step </w:t>
      </w:r>
      <w:r w:rsidR="000F6EFD">
        <w:t xml:space="preserve">is associated with </w:t>
      </w:r>
      <w:r w:rsidR="00AC62AF">
        <w:t>the</w:t>
      </w:r>
      <w:r>
        <w:t xml:space="preserve"> bank agreeing a loan with a customer</w:t>
      </w:r>
      <w:r w:rsidR="00AC62AF">
        <w:t>, and the accounting treatment for the loan</w:t>
      </w:r>
      <w:r w:rsidR="0041058C">
        <w:t xml:space="preserve"> is the same </w:t>
      </w:r>
      <w:r w:rsidR="00AC62AF">
        <w:t>approach</w:t>
      </w:r>
      <w:r w:rsidR="0041058C">
        <w:t xml:space="preserve"> followed by any other type of financial intermediary.</w:t>
      </w:r>
    </w:p>
    <w:p w14:paraId="3FB4E324" w14:textId="0A9A2C28" w:rsidR="0041058C" w:rsidRDefault="0041058C">
      <w:r>
        <w:rPr>
          <w:noProof/>
        </w:rPr>
        <w:drawing>
          <wp:inline distT="0" distB="0" distL="0" distR="0" wp14:anchorId="2A128E18" wp14:editId="2630D2B2">
            <wp:extent cx="2657475" cy="155654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6424" cy="1596928"/>
                    </a:xfrm>
                    <a:prstGeom prst="rect">
                      <a:avLst/>
                    </a:prstGeom>
                    <a:noFill/>
                  </pic:spPr>
                </pic:pic>
              </a:graphicData>
            </a:graphic>
          </wp:inline>
        </w:drawing>
      </w:r>
    </w:p>
    <w:p w14:paraId="091CC8E6" w14:textId="6740121F" w:rsidR="00394716" w:rsidRDefault="00394716">
      <w:r>
        <w:t>The accounting entries associated with</w:t>
      </w:r>
      <w:r w:rsidR="006E0456">
        <w:t xml:space="preserve"> second stage of the process, whe</w:t>
      </w:r>
      <w:r w:rsidR="0032382B">
        <w:t>n</w:t>
      </w:r>
      <w:r>
        <w:t xml:space="preserve"> the bank plac</w:t>
      </w:r>
      <w:r w:rsidR="006E0456">
        <w:t>es</w:t>
      </w:r>
      <w:r>
        <w:t xml:space="preserve"> money into a borrower’s bank account, is the point at which the bank’s accounting treatment of the loan differs from other types of financial intermediary. </w:t>
      </w:r>
      <w:r w:rsidR="00C17D5C">
        <w:t xml:space="preserve">A bank creates new credit money as a consequence of their accounting treatment of liabilities. </w:t>
      </w:r>
      <w:r>
        <w:t xml:space="preserve">The bank ledger converts the account payable arising from a bank’s lending activity </w:t>
      </w:r>
      <w:r w:rsidR="000F6EFD">
        <w:t>to</w:t>
      </w:r>
      <w:r>
        <w:t xml:space="preserve"> a customer deposit, </w:t>
      </w:r>
      <w:r w:rsidR="006E0456">
        <w:t>where the customer deposit represents</w:t>
      </w:r>
      <w:r>
        <w:t xml:space="preserve"> another category of bank liability. </w:t>
      </w:r>
      <w:r w:rsidR="006A2A00">
        <w:t xml:space="preserve">This </w:t>
      </w:r>
      <w:r w:rsidR="00C17D5C">
        <w:t>accounting process causes the bank to create a new customer deposit that was not previously paid into the bank, but instead represented the reclassification of an account payable liability of the bank. Th</w:t>
      </w:r>
      <w:r w:rsidR="00D9284E">
        <w:t xml:space="preserve">is accounting treatment of the transaction </w:t>
      </w:r>
      <w:r w:rsidR="00C17D5C">
        <w:t>e</w:t>
      </w:r>
      <w:r w:rsidR="00D9284E">
        <w:t>nables the</w:t>
      </w:r>
      <w:r w:rsidR="00C17D5C">
        <w:t xml:space="preserve"> bank</w:t>
      </w:r>
      <w:r w:rsidR="00D9284E">
        <w:t xml:space="preserve"> to</w:t>
      </w:r>
      <w:r w:rsidR="00C17D5C">
        <w:t xml:space="preserve"> expand both sides of their balance sheet at the same time when mak</w:t>
      </w:r>
      <w:r w:rsidR="00D9284E">
        <w:t>ing</w:t>
      </w:r>
      <w:r w:rsidR="00C17D5C">
        <w:t xml:space="preserve"> a loan.</w:t>
      </w:r>
    </w:p>
    <w:p w14:paraId="06EEF661" w14:textId="2E829986" w:rsidR="00BE6983" w:rsidRDefault="00BE6983">
      <w:r>
        <w:rPr>
          <w:noProof/>
        </w:rPr>
        <w:drawing>
          <wp:inline distT="0" distB="0" distL="0" distR="0" wp14:anchorId="4376D506" wp14:editId="39365446">
            <wp:extent cx="2724150" cy="158027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117" cy="1613321"/>
                    </a:xfrm>
                    <a:prstGeom prst="rect">
                      <a:avLst/>
                    </a:prstGeom>
                    <a:noFill/>
                  </pic:spPr>
                </pic:pic>
              </a:graphicData>
            </a:graphic>
          </wp:inline>
        </w:drawing>
      </w:r>
    </w:p>
    <w:p w14:paraId="48C5CBCC" w14:textId="74AD66AA" w:rsidR="004551CB" w:rsidRDefault="00863D1A">
      <w:r>
        <w:t xml:space="preserve">Seigniorage traditionally </w:t>
      </w:r>
      <w:r w:rsidR="004C42D9">
        <w:t>re</w:t>
      </w:r>
      <w:r w:rsidR="005E5247">
        <w:t>fers</w:t>
      </w:r>
      <w:r w:rsidR="004C42D9">
        <w:t xml:space="preserve"> to the profit received by the central bank from creating </w:t>
      </w:r>
      <w:r w:rsidR="00431BE5">
        <w:t xml:space="preserve">new </w:t>
      </w:r>
      <w:proofErr w:type="gramStart"/>
      <w:r w:rsidR="004C42D9">
        <w:t>money, and</w:t>
      </w:r>
      <w:proofErr w:type="gramEnd"/>
      <w:r w:rsidR="004C42D9">
        <w:t xml:space="preserve"> is calculated as </w:t>
      </w:r>
      <w:r>
        <w:t>the difference between the cost of producing physical money</w:t>
      </w:r>
      <w:r w:rsidR="004C42D9">
        <w:t xml:space="preserve"> and the purchasing power of the </w:t>
      </w:r>
      <w:r w:rsidR="000E7DA0">
        <w:t xml:space="preserve">newly </w:t>
      </w:r>
      <w:r w:rsidR="004C42D9">
        <w:t xml:space="preserve">created money in the economy. </w:t>
      </w:r>
      <w:r w:rsidR="005E5247">
        <w:t xml:space="preserve">For example, a £10 note can purchase £10 worth of products within the economy, but only costs a few pence to produce. </w:t>
      </w:r>
      <w:r w:rsidR="004C42D9">
        <w:t xml:space="preserve">However, given that commercial banks create the majority of money in an economy, we can also calculate commercial bank seigniorage acquired from </w:t>
      </w:r>
      <w:r w:rsidR="005E5247">
        <w:t xml:space="preserve">bank </w:t>
      </w:r>
      <w:r w:rsidR="004C42D9">
        <w:t xml:space="preserve">credit creation. </w:t>
      </w:r>
      <w:r w:rsidR="004551CB">
        <w:t xml:space="preserve">Credit creation increases bank profitability in two ways. Firstly, bank credit creation increases the volume of profitable bank lending opportunities </w:t>
      </w:r>
      <w:r w:rsidR="004551CB">
        <w:lastRenderedPageBreak/>
        <w:t>the bank can conduct. Secondly, bank credit creation reduces the</w:t>
      </w:r>
      <w:r w:rsidR="00F21B77">
        <w:t xml:space="preserve"> bank’s</w:t>
      </w:r>
      <w:r w:rsidR="004551CB">
        <w:t xml:space="preserve"> cost of capital</w:t>
      </w:r>
      <w:r w:rsidR="00F21B77">
        <w:t xml:space="preserve">, where the average interest rate paid on </w:t>
      </w:r>
      <w:r w:rsidR="00E76C02">
        <w:t>depositors’</w:t>
      </w:r>
      <w:r w:rsidR="00F21B77">
        <w:t xml:space="preserve"> balances </w:t>
      </w:r>
      <w:r w:rsidR="00AD5DAF">
        <w:t xml:space="preserve">that have been created by the bank </w:t>
      </w:r>
      <w:r w:rsidR="00F21B77">
        <w:t xml:space="preserve">is lower </w:t>
      </w:r>
      <w:r w:rsidR="00AD5DAF">
        <w:t xml:space="preserve">than </w:t>
      </w:r>
      <w:r w:rsidR="00F21B77">
        <w:t xml:space="preserve">the </w:t>
      </w:r>
      <w:r w:rsidR="006B140C">
        <w:t>commercial market interest rate paid on bank debt</w:t>
      </w:r>
      <w:r w:rsidR="00AD5DAF">
        <w:t xml:space="preserve"> that would otherwise have to be used to facilitate additional bank lending</w:t>
      </w:r>
      <w:r w:rsidR="004551CB">
        <w:t xml:space="preserve">. It is estimated that </w:t>
      </w:r>
      <w:r w:rsidR="00AD5DAF">
        <w:t xml:space="preserve">commercial </w:t>
      </w:r>
      <w:r w:rsidR="004551CB">
        <w:t xml:space="preserve">bank seigniorage profits from credit creation </w:t>
      </w:r>
      <w:r w:rsidR="000E7DA0">
        <w:t xml:space="preserve">that arose from </w:t>
      </w:r>
      <w:r w:rsidR="00705142">
        <w:t>lower</w:t>
      </w:r>
      <w:r w:rsidR="000E7DA0">
        <w:t>ing</w:t>
      </w:r>
      <w:r w:rsidR="00705142">
        <w:t xml:space="preserve"> </w:t>
      </w:r>
      <w:r w:rsidR="000E7DA0">
        <w:t>banks</w:t>
      </w:r>
      <w:r w:rsidR="00705142">
        <w:t xml:space="preserve"> cost of capital</w:t>
      </w:r>
      <w:r w:rsidR="0072597D">
        <w:t xml:space="preserve"> </w:t>
      </w:r>
      <w:r w:rsidR="004551CB">
        <w:t>generated</w:t>
      </w:r>
      <w:r w:rsidR="00AD5DAF">
        <w:t xml:space="preserve"> commercial</w:t>
      </w:r>
      <w:r w:rsidR="004551CB">
        <w:t xml:space="preserve"> </w:t>
      </w:r>
      <w:r w:rsidR="006B140C">
        <w:t xml:space="preserve">banks </w:t>
      </w:r>
      <w:r w:rsidR="004551CB">
        <w:t xml:space="preserve">an annual £23 billion </w:t>
      </w:r>
      <w:r w:rsidR="00C925B9">
        <w:t xml:space="preserve">of addition profit per </w:t>
      </w:r>
      <w:r w:rsidR="00EF1DF8">
        <w:t>annum</w:t>
      </w:r>
      <w:r w:rsidR="00C925B9">
        <w:t xml:space="preserve"> during the period 1998 to 2016</w:t>
      </w:r>
      <w:sdt>
        <w:sdtPr>
          <w:id w:val="417757715"/>
          <w:citation/>
        </w:sdtPr>
        <w:sdtEndPr/>
        <w:sdtContent>
          <w:r w:rsidR="00C925B9">
            <w:fldChar w:fldCharType="begin"/>
          </w:r>
          <w:r w:rsidR="00AD5DAF">
            <w:instrText xml:space="preserve">CITATION Mac17 \p 2 \t  \l 2057 </w:instrText>
          </w:r>
          <w:r w:rsidR="00C925B9">
            <w:fldChar w:fldCharType="separate"/>
          </w:r>
          <w:r w:rsidR="00AD5DAF">
            <w:rPr>
              <w:noProof/>
            </w:rPr>
            <w:t xml:space="preserve"> (Macfarlane, Ryan-Collins, Bjerg, Nielsen, &amp; McCann, 2017, p. 2)</w:t>
          </w:r>
          <w:r w:rsidR="00C925B9">
            <w:fldChar w:fldCharType="end"/>
          </w:r>
        </w:sdtContent>
      </w:sdt>
      <w:r w:rsidR="00C925B9">
        <w:t>.</w:t>
      </w:r>
      <w:r w:rsidR="00EF1DF8">
        <w:t xml:space="preserve"> Whilst state seigniorage profits from issuing bank notes are estimated to have generated approximately £1.2 billion per annum.</w:t>
      </w:r>
      <w:r w:rsidR="00944278">
        <w:t xml:space="preserve"> Commercial bank seigniorage profit </w:t>
      </w:r>
      <w:r w:rsidR="00F21B77">
        <w:t>(CBS) is</w:t>
      </w:r>
      <w:r w:rsidR="00944278">
        <w:t xml:space="preserve"> calculated using the following formula</w:t>
      </w:r>
      <w:sdt>
        <w:sdtPr>
          <w:id w:val="1225723490"/>
          <w:citation/>
        </w:sdtPr>
        <w:sdtEndPr/>
        <w:sdtContent>
          <w:r w:rsidR="00F21B77">
            <w:fldChar w:fldCharType="begin"/>
          </w:r>
          <w:r w:rsidR="00A23FB0">
            <w:instrText xml:space="preserve">CITATION Mac17 \p 18 \t  \l 2057 </w:instrText>
          </w:r>
          <w:r w:rsidR="00F21B77">
            <w:fldChar w:fldCharType="separate"/>
          </w:r>
          <w:r w:rsidR="00A23FB0">
            <w:rPr>
              <w:noProof/>
            </w:rPr>
            <w:t xml:space="preserve"> (Macfarlane, Ryan-Collins, Bjerg, Nielsen, &amp; McCann, 2017, p. 18)</w:t>
          </w:r>
          <w:r w:rsidR="00F21B77">
            <w:fldChar w:fldCharType="end"/>
          </w:r>
        </w:sdtContent>
      </w:sdt>
      <w:r w:rsidR="00944278">
        <w:t>:</w:t>
      </w:r>
    </w:p>
    <w:p w14:paraId="2D1E1888" w14:textId="3649709A" w:rsidR="00944278" w:rsidRDefault="00F21B77">
      <w:r>
        <w:t>CB</w:t>
      </w:r>
      <w:r w:rsidR="00944278">
        <w:t>S = CBD (</w:t>
      </w:r>
      <w:proofErr w:type="spellStart"/>
      <w:r w:rsidR="00944278">
        <w:t>i</w:t>
      </w:r>
      <w:r w:rsidR="00944278" w:rsidRPr="00944278">
        <w:rPr>
          <w:vertAlign w:val="subscript"/>
        </w:rPr>
        <w:t>mb</w:t>
      </w:r>
      <w:proofErr w:type="spellEnd"/>
      <w:r w:rsidR="00944278">
        <w:t xml:space="preserve"> – </w:t>
      </w:r>
      <w:proofErr w:type="gramStart"/>
      <w:r w:rsidR="00944278">
        <w:t>i</w:t>
      </w:r>
      <w:r w:rsidR="00944278" w:rsidRPr="00944278">
        <w:rPr>
          <w:vertAlign w:val="subscript"/>
        </w:rPr>
        <w:t>d</w:t>
      </w:r>
      <w:r w:rsidR="00944278">
        <w:rPr>
          <w:vertAlign w:val="subscript"/>
        </w:rPr>
        <w:t xml:space="preserve"> </w:t>
      </w:r>
      <w:r w:rsidR="00944278" w:rsidRPr="00944278">
        <w:t>)</w:t>
      </w:r>
      <w:proofErr w:type="gramEnd"/>
    </w:p>
    <w:p w14:paraId="16B9CE3C" w14:textId="77777777" w:rsidR="00944278" w:rsidRDefault="00944278">
      <w:r>
        <w:t xml:space="preserve">Where: </w:t>
      </w:r>
    </w:p>
    <w:p w14:paraId="0ADC836B" w14:textId="63E7145D" w:rsidR="00944278" w:rsidRDefault="00944278">
      <w:r>
        <w:t>CBD = Commercial bank deposits</w:t>
      </w:r>
    </w:p>
    <w:p w14:paraId="33050D53" w14:textId="303E7D32" w:rsidR="00944278" w:rsidRDefault="00944278">
      <w:proofErr w:type="spellStart"/>
      <w:r>
        <w:t>i</w:t>
      </w:r>
      <w:r w:rsidRPr="00944278">
        <w:rPr>
          <w:vertAlign w:val="subscript"/>
        </w:rPr>
        <w:t>mb</w:t>
      </w:r>
      <w:proofErr w:type="spellEnd"/>
      <w:r>
        <w:rPr>
          <w:vertAlign w:val="subscript"/>
        </w:rPr>
        <w:t xml:space="preserve"> </w:t>
      </w:r>
      <w:r w:rsidRPr="00944278">
        <w:t xml:space="preserve">= commercial </w:t>
      </w:r>
      <w:r>
        <w:t xml:space="preserve">benchmark </w:t>
      </w:r>
      <w:r w:rsidRPr="00944278">
        <w:t>market interest rate</w:t>
      </w:r>
    </w:p>
    <w:p w14:paraId="6855BED4" w14:textId="3CAA2335" w:rsidR="00944278" w:rsidRDefault="00944278">
      <w:r w:rsidRPr="00944278">
        <w:t>i</w:t>
      </w:r>
      <w:r w:rsidRPr="00944278">
        <w:rPr>
          <w:vertAlign w:val="subscript"/>
        </w:rPr>
        <w:t>d</w:t>
      </w:r>
      <w:r>
        <w:t xml:space="preserve"> = interest rate paid by banks on </w:t>
      </w:r>
      <w:r w:rsidR="00E76C02">
        <w:t>depositors’</w:t>
      </w:r>
      <w:r w:rsidR="00A23FB0">
        <w:t xml:space="preserve"> money</w:t>
      </w:r>
    </w:p>
    <w:p w14:paraId="73212671" w14:textId="77777777" w:rsidR="00F21B77" w:rsidRDefault="00F21B77"/>
    <w:p w14:paraId="159335EB" w14:textId="77777777" w:rsidR="00DE26C6" w:rsidRDefault="00DE26C6" w:rsidP="00DE26C6">
      <w:r>
        <w:t>Bank lending is determined by the existence of profitable lending opportunities. Bank lending activity is influenced by the demand for bank loans. Richard Werner proposes that Say’s Law can be applied to credit creation, because increasing the supply of credit creates its own demand. Lending secured on dwellings accounts for 49.6% of total United Kingdom bank lending in 2017. The consequence of creating new money to purchase an asset that is fixed in supply, such as property, promotes rising property prices that will encourage greater demand for borrowing to purchase property</w:t>
      </w:r>
      <w:r>
        <w:rPr>
          <w:rStyle w:val="EndnoteReference"/>
        </w:rPr>
        <w:endnoteReference w:id="2"/>
      </w:r>
      <w:r>
        <w:t xml:space="preserve">. </w:t>
      </w:r>
    </w:p>
    <w:p w14:paraId="5CEA34D0" w14:textId="6A0BC2E8" w:rsidR="00B053DB" w:rsidRDefault="00C17D5C">
      <w:r>
        <w:t xml:space="preserve">Bank lending activity is constrained by the need to remain profitable. </w:t>
      </w:r>
      <w:r w:rsidR="006A52A2">
        <w:t>Bank profitability is a consequence of interest received on loans exceeding interest charges on bank liabilities</w:t>
      </w:r>
      <w:r w:rsidR="003C5375">
        <w:t xml:space="preserve"> (which includes the interest paid on money deposited at the bank, interest received by bank bondholders, and dividends to bank shareholders)</w:t>
      </w:r>
      <w:r w:rsidR="0089181E">
        <w:t>. The difference between interest received on bank loans and the bank’s cost of capital is then used to cover</w:t>
      </w:r>
      <w:r w:rsidR="006A52A2">
        <w:t xml:space="preserve"> </w:t>
      </w:r>
      <w:r w:rsidR="003C5375">
        <w:t xml:space="preserve">the </w:t>
      </w:r>
      <w:r w:rsidR="00B053DB">
        <w:t xml:space="preserve">bank’s </w:t>
      </w:r>
      <w:r w:rsidR="003C5375" w:rsidRPr="003C5375">
        <w:t>cost of provisions for bad and doubtful debts</w:t>
      </w:r>
      <w:r w:rsidR="003C5375">
        <w:t xml:space="preserve"> and</w:t>
      </w:r>
      <w:r w:rsidR="003C5375" w:rsidRPr="003C5375">
        <w:t xml:space="preserve"> </w:t>
      </w:r>
      <w:r w:rsidR="006A52A2">
        <w:t>operating costs of the bank</w:t>
      </w:r>
      <w:r w:rsidR="0089181E">
        <w:t>, and the remainder is bank profit</w:t>
      </w:r>
      <w:r w:rsidR="006A52A2">
        <w:t xml:space="preserve">. </w:t>
      </w:r>
    </w:p>
    <w:p w14:paraId="7D8C6CB2" w14:textId="77777777" w:rsidR="00315480" w:rsidRDefault="0089181E">
      <w:r>
        <w:t xml:space="preserve">Banks money creation capability is constrained by their motivation to ensure there is an appropriate spread between the interest rate received on money loaned, and the cost of bank capital. A rapid expansion of bank lending will require the bank to reduce the interest rate charged to borrowers, which will reduce bank profitability. </w:t>
      </w:r>
      <w:r w:rsidR="00A43B9C">
        <w:t xml:space="preserve">A bank must </w:t>
      </w:r>
      <w:r w:rsidR="00B053DB">
        <w:t xml:space="preserve">also </w:t>
      </w:r>
      <w:r w:rsidR="00A43B9C">
        <w:t xml:space="preserve">ensure that it has sufficient </w:t>
      </w:r>
      <w:r w:rsidR="00B053DB">
        <w:t xml:space="preserve">provisions and </w:t>
      </w:r>
      <w:r w:rsidR="00A43B9C">
        <w:t>capital to cover unanticipated losses arising from bad and doubtful debts, whilst also meeting regulatory requirements.</w:t>
      </w:r>
      <w:r w:rsidR="00334125">
        <w:t xml:space="preserve"> </w:t>
      </w:r>
    </w:p>
    <w:p w14:paraId="2E6CF748" w14:textId="1DD58CD8" w:rsidR="00084C1D" w:rsidRDefault="00006371">
      <w:r>
        <w:t>Creation of ‘c</w:t>
      </w:r>
      <w:r w:rsidR="00C17D5C">
        <w:t>redit money</w:t>
      </w:r>
      <w:r>
        <w:t>’</w:t>
      </w:r>
      <w:r w:rsidR="00C17D5C">
        <w:t xml:space="preserve"> is determined by</w:t>
      </w:r>
      <w:r>
        <w:t xml:space="preserve"> a</w:t>
      </w:r>
      <w:r w:rsidR="00C17D5C">
        <w:t xml:space="preserve"> </w:t>
      </w:r>
      <w:r w:rsidR="002B5346">
        <w:t xml:space="preserve">commercial </w:t>
      </w:r>
      <w:r w:rsidR="00C17D5C">
        <w:t>bank</w:t>
      </w:r>
      <w:r>
        <w:t>’</w:t>
      </w:r>
      <w:r w:rsidR="00C17D5C">
        <w:t>s confiden</w:t>
      </w:r>
      <w:r>
        <w:t>ce</w:t>
      </w:r>
      <w:r w:rsidR="00C17D5C">
        <w:t xml:space="preserve"> that issued loans will be repaid</w:t>
      </w:r>
      <w:r>
        <w:t>.</w:t>
      </w:r>
      <w:r w:rsidR="006A52A2">
        <w:t xml:space="preserve"> </w:t>
      </w:r>
      <w:r>
        <w:t>T</w:t>
      </w:r>
      <w:r w:rsidR="006A52A2">
        <w:t>herefore</w:t>
      </w:r>
      <w:r>
        <w:t>,</w:t>
      </w:r>
      <w:r w:rsidR="006A52A2">
        <w:t xml:space="preserve"> banks perception of </w:t>
      </w:r>
      <w:r>
        <w:t>‘</w:t>
      </w:r>
      <w:r w:rsidR="006A52A2">
        <w:t xml:space="preserve">credit </w:t>
      </w:r>
      <w:r w:rsidR="00084C1D">
        <w:t xml:space="preserve">default </w:t>
      </w:r>
      <w:r w:rsidR="006A52A2">
        <w:t>risk</w:t>
      </w:r>
      <w:r>
        <w:t>’</w:t>
      </w:r>
      <w:r w:rsidR="006A52A2">
        <w:t xml:space="preserve"> </w:t>
      </w:r>
      <w:r w:rsidR="00084C1D">
        <w:t>is</w:t>
      </w:r>
      <w:r w:rsidR="006A52A2">
        <w:t xml:space="preserve"> an important factor influencing </w:t>
      </w:r>
      <w:r w:rsidR="00084C1D">
        <w:t xml:space="preserve">the amount of </w:t>
      </w:r>
      <w:r w:rsidR="006A52A2">
        <w:t>bank lending</w:t>
      </w:r>
      <w:r w:rsidR="00C17D5C">
        <w:t>.</w:t>
      </w:r>
      <w:r w:rsidR="006A52A2">
        <w:t xml:space="preserve"> </w:t>
      </w:r>
      <w:r w:rsidR="008031EE">
        <w:t>Strong growth in property prices over a prolonged period of time reduce</w:t>
      </w:r>
      <w:r w:rsidR="00334125">
        <w:t>s</w:t>
      </w:r>
      <w:r w:rsidR="008031EE">
        <w:t xml:space="preserve"> bank’s perception of the</w:t>
      </w:r>
      <w:r w:rsidR="00334125">
        <w:t xml:space="preserve"> level of</w:t>
      </w:r>
      <w:r w:rsidR="008031EE">
        <w:t xml:space="preserve"> credit default risk associated with property lending, because money owed as a consequence of the borrower’s failure to repay a loan will be recovered by the bank repossessing the property that provided security for the loan. </w:t>
      </w:r>
      <w:r w:rsidR="00334125">
        <w:t xml:space="preserve">Secondly, borrowers are likely to repay loans whilst the asset value exceeds the total amount of money outstanding on the loan. </w:t>
      </w:r>
      <w:r w:rsidR="008031EE">
        <w:t xml:space="preserve">When property prices are continuously increasing the bank will perceive that property lending incurs a very </w:t>
      </w:r>
      <w:r w:rsidR="008031EE">
        <w:lastRenderedPageBreak/>
        <w:t xml:space="preserve">low credit default </w:t>
      </w:r>
      <w:proofErr w:type="gramStart"/>
      <w:r w:rsidR="008031EE">
        <w:t>risk</w:t>
      </w:r>
      <w:r>
        <w:t>, and</w:t>
      </w:r>
      <w:proofErr w:type="gramEnd"/>
      <w:r>
        <w:t xml:space="preserve"> will therefore attribute a very low level of credit default risk when lending for property purchase</w:t>
      </w:r>
      <w:r w:rsidR="008031EE">
        <w:t>.</w:t>
      </w:r>
      <w:r w:rsidR="00DC0801">
        <w:t xml:space="preserve"> Levels of credit default, and bank provisions for bad and doubtful debts, are likely to increase substantially in the event of a significant reduction in property prices.</w:t>
      </w:r>
    </w:p>
    <w:p w14:paraId="0A5136F9" w14:textId="4BE8F2D9" w:rsidR="00EB5A71" w:rsidRDefault="00EB5A71">
      <w:r>
        <w:t>It is alleged that Barclay’s Bank innovated a further step to the bank credit creation process, when they offered to provide a third-party with a loan, on the understanding that the third party purchased newly created shares in Barclay’s Bank</w:t>
      </w:r>
      <w:sdt>
        <w:sdtPr>
          <w:id w:val="-1425343309"/>
          <w:citation/>
        </w:sdtPr>
        <w:sdtEndPr/>
        <w:sdtContent>
          <w:r>
            <w:fldChar w:fldCharType="begin"/>
          </w:r>
          <w:r w:rsidR="00617645">
            <w:instrText xml:space="preserve">CITATION Fin18 \l 2057 </w:instrText>
          </w:r>
          <w:r>
            <w:fldChar w:fldCharType="separate"/>
          </w:r>
          <w:r w:rsidR="00617645">
            <w:rPr>
              <w:noProof/>
            </w:rPr>
            <w:t xml:space="preserve"> (Financial Times, 2018)</w:t>
          </w:r>
          <w:r>
            <w:fldChar w:fldCharType="end"/>
          </w:r>
        </w:sdtContent>
      </w:sdt>
      <w:r>
        <w:t xml:space="preserve">. </w:t>
      </w:r>
      <w:r w:rsidR="00617645">
        <w:t xml:space="preserve">The </w:t>
      </w:r>
      <w:r w:rsidR="002B5346">
        <w:t>S</w:t>
      </w:r>
      <w:r w:rsidR="00617645">
        <w:t xml:space="preserve">erious Fraud Office have </w:t>
      </w:r>
      <w:r w:rsidR="002B5346">
        <w:t>charged Barclays Bank with</w:t>
      </w:r>
      <w:r w:rsidR="00617645">
        <w:t xml:space="preserve"> financial assistance </w:t>
      </w:r>
      <w:proofErr w:type="gramStart"/>
      <w:r w:rsidR="00617645">
        <w:t>as a consequence of</w:t>
      </w:r>
      <w:proofErr w:type="gramEnd"/>
      <w:r w:rsidR="00617645">
        <w:t xml:space="preserve"> this transaction, because a company is not allowed to loan money for the purpose of purchasing their own shares. </w:t>
      </w:r>
      <w:r w:rsidR="004F3B38">
        <w:t>If a</w:t>
      </w:r>
      <w:r w:rsidR="00617645">
        <w:t xml:space="preserve"> bank was allowed to pursue this approach to raising capital it would remove an important constraint on </w:t>
      </w:r>
      <w:r w:rsidR="002B5346">
        <w:t xml:space="preserve">a </w:t>
      </w:r>
      <w:r w:rsidR="00617645">
        <w:t xml:space="preserve">bank’s ability to increase lending. </w:t>
      </w:r>
      <w:r>
        <w:t>This</w:t>
      </w:r>
      <w:r w:rsidR="00617645">
        <w:t xml:space="preserve"> process </w:t>
      </w:r>
      <w:r>
        <w:t>caused an account payable liability to be converted into a customer deposit</w:t>
      </w:r>
      <w:r w:rsidR="00253F15">
        <w:t xml:space="preserve"> liability</w:t>
      </w:r>
      <w:r>
        <w:t>, which then became new Barclays Bank share capital when the third-party used their loan to purchase new Barclay’s share capital</w:t>
      </w:r>
      <w:r w:rsidR="00253F15">
        <w:t xml:space="preserve"> (another category of liability on Barclay’s balance sheet)</w:t>
      </w:r>
      <w:sdt>
        <w:sdtPr>
          <w:id w:val="1831098642"/>
          <w:citation/>
        </w:sdtPr>
        <w:sdtEndPr/>
        <w:sdtContent>
          <w:r w:rsidR="00443984">
            <w:fldChar w:fldCharType="begin"/>
          </w:r>
          <w:r w:rsidR="00443984">
            <w:instrText xml:space="preserve"> CITATION Wer14 \l 2057 </w:instrText>
          </w:r>
          <w:r w:rsidR="00443984">
            <w:fldChar w:fldCharType="separate"/>
          </w:r>
          <w:r w:rsidR="00443984">
            <w:rPr>
              <w:noProof/>
            </w:rPr>
            <w:t xml:space="preserve"> (Werner, 2014)</w:t>
          </w:r>
          <w:r w:rsidR="00443984">
            <w:fldChar w:fldCharType="end"/>
          </w:r>
        </w:sdtContent>
      </w:sdt>
      <w:r>
        <w:t>.</w:t>
      </w:r>
      <w:r w:rsidR="007C04FB">
        <w:t xml:space="preserve"> </w:t>
      </w:r>
    </w:p>
    <w:p w14:paraId="61ECA5BC" w14:textId="3D9D192E" w:rsidR="00617645" w:rsidRDefault="00617645">
      <w:r>
        <w:rPr>
          <w:noProof/>
        </w:rPr>
        <w:drawing>
          <wp:inline distT="0" distB="0" distL="0" distR="0" wp14:anchorId="4176B6B9" wp14:editId="22E8EB65">
            <wp:extent cx="3496162" cy="2400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2952" cy="2418693"/>
                    </a:xfrm>
                    <a:prstGeom prst="rect">
                      <a:avLst/>
                    </a:prstGeom>
                    <a:noFill/>
                  </pic:spPr>
                </pic:pic>
              </a:graphicData>
            </a:graphic>
          </wp:inline>
        </w:drawing>
      </w:r>
    </w:p>
    <w:p w14:paraId="1A0D7013" w14:textId="33CF3EF9" w:rsidR="000E5613" w:rsidRDefault="000E5613">
      <w:r>
        <w:t>The credit creation theory of banking is discussed in more detail within the electronic mind maps that I have created, which are located on the Economics Network</w:t>
      </w:r>
      <w:sdt>
        <w:sdtPr>
          <w:id w:val="563144748"/>
          <w:citation/>
        </w:sdtPr>
        <w:sdtEndPr/>
        <w:sdtContent>
          <w:r w:rsidR="00F7451F">
            <w:fldChar w:fldCharType="begin"/>
          </w:r>
          <w:r w:rsidR="00F7451F">
            <w:instrText xml:space="preserve"> CITATION Sta17 \l 2057 </w:instrText>
          </w:r>
          <w:r w:rsidR="00F7451F">
            <w:fldChar w:fldCharType="separate"/>
          </w:r>
          <w:r w:rsidR="00F7451F">
            <w:rPr>
              <w:noProof/>
            </w:rPr>
            <w:t xml:space="preserve"> (Starkey, 2017)</w:t>
          </w:r>
          <w:r w:rsidR="00F7451F">
            <w:fldChar w:fldCharType="end"/>
          </w:r>
        </w:sdtContent>
      </w:sdt>
      <w:r>
        <w:t>.</w:t>
      </w:r>
    </w:p>
    <w:sdt>
      <w:sdtPr>
        <w:rPr>
          <w:rFonts w:asciiTheme="minorHAnsi" w:eastAsiaTheme="minorHAnsi" w:hAnsiTheme="minorHAnsi" w:cstheme="minorBidi"/>
          <w:color w:val="auto"/>
          <w:sz w:val="22"/>
          <w:szCs w:val="22"/>
          <w:lang w:val="en-GB"/>
        </w:rPr>
        <w:id w:val="1291328332"/>
        <w:docPartObj>
          <w:docPartGallery w:val="Bibliographies"/>
          <w:docPartUnique/>
        </w:docPartObj>
      </w:sdtPr>
      <w:sdtEndPr/>
      <w:sdtContent>
        <w:p w14:paraId="68CE4A5A" w14:textId="6093F073" w:rsidR="00443984" w:rsidRDefault="00443984">
          <w:pPr>
            <w:pStyle w:val="Heading1"/>
          </w:pPr>
          <w:r>
            <w:t>Bibliography</w:t>
          </w:r>
        </w:p>
        <w:sdt>
          <w:sdtPr>
            <w:id w:val="111145805"/>
            <w:bibliography/>
          </w:sdtPr>
          <w:sdtEndPr/>
          <w:sdtContent>
            <w:p w14:paraId="70FF0469" w14:textId="77777777" w:rsidR="00443984" w:rsidRDefault="00443984" w:rsidP="00443984">
              <w:pPr>
                <w:pStyle w:val="Bibliography"/>
                <w:ind w:left="720" w:hanging="720"/>
                <w:rPr>
                  <w:noProof/>
                  <w:sz w:val="24"/>
                  <w:szCs w:val="24"/>
                  <w:lang w:val="en-US"/>
                </w:rPr>
              </w:pPr>
              <w:r>
                <w:fldChar w:fldCharType="begin"/>
              </w:r>
              <w:r>
                <w:instrText xml:space="preserve"> BIBLIOGRAPHY </w:instrText>
              </w:r>
              <w:r>
                <w:fldChar w:fldCharType="separate"/>
              </w:r>
              <w:r>
                <w:rPr>
                  <w:noProof/>
                  <w:lang w:val="en-US"/>
                </w:rPr>
                <w:t xml:space="preserve">Financial Times. (2018, February 12th). </w:t>
              </w:r>
              <w:r>
                <w:rPr>
                  <w:i/>
                  <w:iCs/>
                  <w:noProof/>
                  <w:lang w:val="en-US"/>
                </w:rPr>
                <w:t>Barclays charged a second time over Qatar cash injection.</w:t>
              </w:r>
              <w:r>
                <w:rPr>
                  <w:noProof/>
                  <w:lang w:val="en-US"/>
                </w:rPr>
                <w:t xml:space="preserve"> Retrieved from Financial Times: https://www.ft.com/content/9eb75568-0fcf-11e8-8cb6-b9ccc4c4dbbb</w:t>
              </w:r>
            </w:p>
            <w:p w14:paraId="02593512" w14:textId="77777777" w:rsidR="00443984" w:rsidRDefault="00443984" w:rsidP="00443984">
              <w:pPr>
                <w:pStyle w:val="Bibliography"/>
                <w:ind w:left="720" w:hanging="720"/>
                <w:rPr>
                  <w:noProof/>
                  <w:lang w:val="en-US"/>
                </w:rPr>
              </w:pPr>
              <w:r>
                <w:rPr>
                  <w:noProof/>
                  <w:lang w:val="en-US"/>
                </w:rPr>
                <w:t xml:space="preserve">Macfarlane, L., Ryan-Collins, J., Bjerg, O., Nielsen, R., &amp; McCann, D. (2017, January). </w:t>
              </w:r>
              <w:r>
                <w:rPr>
                  <w:i/>
                  <w:iCs/>
                  <w:noProof/>
                  <w:lang w:val="en-US"/>
                </w:rPr>
                <w:t>Making Money from Making Money: Seigniorage in the Modern Economy.</w:t>
              </w:r>
              <w:r>
                <w:rPr>
                  <w:noProof/>
                  <w:lang w:val="en-US"/>
                </w:rPr>
                <w:t xml:space="preserve"> Retrieved from New Economics Foundation: http://neweconomics.org/wp-content/uploads/2017/05/NEF_MAKING-MONEY-OUT-OF-MONEY_amendment_E.pdf</w:t>
              </w:r>
            </w:p>
            <w:p w14:paraId="3355B002" w14:textId="77777777" w:rsidR="00443984" w:rsidRDefault="00443984" w:rsidP="00443984">
              <w:pPr>
                <w:pStyle w:val="Bibliography"/>
                <w:ind w:left="720" w:hanging="720"/>
                <w:rPr>
                  <w:noProof/>
                  <w:lang w:val="en-US"/>
                </w:rPr>
              </w:pPr>
              <w:r>
                <w:rPr>
                  <w:noProof/>
                  <w:lang w:val="en-US"/>
                </w:rPr>
                <w:t xml:space="preserve">McLeay, M., Radia, A., &amp; Thomas, R. (2014). </w:t>
              </w:r>
              <w:r>
                <w:rPr>
                  <w:i/>
                  <w:iCs/>
                  <w:noProof/>
                  <w:lang w:val="en-US"/>
                </w:rPr>
                <w:t>Money creation in the modern economy.</w:t>
              </w:r>
              <w:r>
                <w:rPr>
                  <w:noProof/>
                  <w:lang w:val="en-US"/>
                </w:rPr>
                <w:t xml:space="preserve"> Retrieved from Bank of England: https://www.bankofengland.co.uk/-/media/boe/files/quarterly-bulletin/2014/money-creation-in-the-modern-economy.pdf?la=en&amp;hash=9A8788FD44A62D8BB927123544205CE476E01654</w:t>
              </w:r>
            </w:p>
            <w:p w14:paraId="794E069B" w14:textId="77777777" w:rsidR="00443984" w:rsidRDefault="00443984" w:rsidP="00443984">
              <w:pPr>
                <w:pStyle w:val="Bibliography"/>
                <w:ind w:left="720" w:hanging="720"/>
                <w:rPr>
                  <w:noProof/>
                  <w:lang w:val="en-US"/>
                </w:rPr>
              </w:pPr>
              <w:r>
                <w:rPr>
                  <w:noProof/>
                  <w:lang w:val="en-US"/>
                </w:rPr>
                <w:t xml:space="preserve">Ryan-Collins, J., Greenham, T., Werner, R., &amp; Jackson, A. (2011). </w:t>
              </w:r>
              <w:r>
                <w:rPr>
                  <w:i/>
                  <w:iCs/>
                  <w:noProof/>
                  <w:lang w:val="en-US"/>
                </w:rPr>
                <w:t>Where Does Money Come From? A Guide to the UK Monetary and Banking System.</w:t>
              </w:r>
              <w:r>
                <w:rPr>
                  <w:noProof/>
                  <w:lang w:val="en-US"/>
                </w:rPr>
                <w:t xml:space="preserve"> London: New Economics Foundation.</w:t>
              </w:r>
            </w:p>
            <w:p w14:paraId="41605CE6" w14:textId="77777777" w:rsidR="00443984" w:rsidRDefault="00443984" w:rsidP="00443984">
              <w:pPr>
                <w:pStyle w:val="Bibliography"/>
                <w:ind w:left="720" w:hanging="720"/>
                <w:rPr>
                  <w:noProof/>
                  <w:lang w:val="en-US"/>
                </w:rPr>
              </w:pPr>
              <w:r>
                <w:rPr>
                  <w:noProof/>
                  <w:lang w:val="en-US"/>
                </w:rPr>
                <w:lastRenderedPageBreak/>
                <w:t xml:space="preserve">Starkey, M. (2017, September). </w:t>
              </w:r>
              <w:r>
                <w:rPr>
                  <w:i/>
                  <w:iCs/>
                  <w:noProof/>
                  <w:lang w:val="en-US"/>
                </w:rPr>
                <w:t>Interactive mind maps in economics.</w:t>
              </w:r>
              <w:r>
                <w:rPr>
                  <w:noProof/>
                  <w:lang w:val="en-US"/>
                </w:rPr>
                <w:t xml:space="preserve"> Retrieved from The Economics Network: http://www.economicsnetwork.ac.uk/archive/starkey_mindmaps/</w:t>
              </w:r>
            </w:p>
            <w:p w14:paraId="28D8AF4F" w14:textId="77777777" w:rsidR="00443984" w:rsidRDefault="00443984" w:rsidP="00443984">
              <w:pPr>
                <w:pStyle w:val="Bibliography"/>
                <w:ind w:left="720" w:hanging="720"/>
                <w:rPr>
                  <w:noProof/>
                  <w:lang w:val="en-US"/>
                </w:rPr>
              </w:pPr>
              <w:r>
                <w:rPr>
                  <w:noProof/>
                  <w:lang w:val="en-US"/>
                </w:rPr>
                <w:t xml:space="preserve">Werner, R. (2014). How do banks create money, and why can other firms not do the same? An explanation for the coexistence of lending and deposit taking. </w:t>
              </w:r>
              <w:r>
                <w:rPr>
                  <w:i/>
                  <w:iCs/>
                  <w:noProof/>
                  <w:lang w:val="en-US"/>
                </w:rPr>
                <w:t>International Review of Financial Analysis (36)</w:t>
              </w:r>
              <w:r>
                <w:rPr>
                  <w:noProof/>
                  <w:lang w:val="en-US"/>
                </w:rPr>
                <w:t>, 71 - 77.</w:t>
              </w:r>
            </w:p>
            <w:p w14:paraId="4D074C8A" w14:textId="377A0EBB" w:rsidR="00443984" w:rsidRDefault="00443984" w:rsidP="00443984">
              <w:r>
                <w:rPr>
                  <w:b/>
                  <w:bCs/>
                  <w:noProof/>
                </w:rPr>
                <w:fldChar w:fldCharType="end"/>
              </w:r>
            </w:p>
          </w:sdtContent>
        </w:sdt>
      </w:sdtContent>
    </w:sdt>
    <w:p w14:paraId="24480444" w14:textId="77777777" w:rsidR="00443984" w:rsidRDefault="00443984"/>
    <w:sectPr w:rsidR="00443984">
      <w:footerReference w:type="default" r:id="rId1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74EF4" w14:textId="77777777" w:rsidR="003316DB" w:rsidRDefault="003316DB" w:rsidP="00845D48">
      <w:pPr>
        <w:spacing w:after="0" w:line="240" w:lineRule="auto"/>
      </w:pPr>
      <w:r>
        <w:separator/>
      </w:r>
    </w:p>
  </w:endnote>
  <w:endnote w:type="continuationSeparator" w:id="0">
    <w:p w14:paraId="4F976E23" w14:textId="77777777" w:rsidR="003316DB" w:rsidRDefault="003316DB" w:rsidP="00845D48">
      <w:pPr>
        <w:spacing w:after="0" w:line="240" w:lineRule="auto"/>
      </w:pPr>
      <w:r>
        <w:continuationSeparator/>
      </w:r>
    </w:p>
  </w:endnote>
  <w:endnote w:id="1">
    <w:p w14:paraId="6B4C8367" w14:textId="77BF9E8A" w:rsidR="00845D48" w:rsidRDefault="00845D48">
      <w:pPr>
        <w:pStyle w:val="EndnoteText"/>
      </w:pPr>
      <w:r>
        <w:rPr>
          <w:rStyle w:val="EndnoteReference"/>
        </w:rPr>
        <w:endnoteRef/>
      </w:r>
      <w:r>
        <w:t xml:space="preserve"> Notes and coins in circulation</w:t>
      </w:r>
      <w:r w:rsidR="00FD3B20">
        <w:t xml:space="preserve"> held outside the banking system by the non-bank private sector</w:t>
      </w:r>
      <w:r>
        <w:t xml:space="preserve"> </w:t>
      </w:r>
      <w:r w:rsidR="00FD3B20">
        <w:t xml:space="preserve">comprise the liabilities of the Bank of England (bank notes) and government </w:t>
      </w:r>
      <w:r w:rsidR="00971D41">
        <w:t>(</w:t>
      </w:r>
      <w:r w:rsidR="00FD3B20">
        <w:t>coins in circulation)</w:t>
      </w:r>
      <w:r w:rsidR="004E108D">
        <w:t>, but excludes</w:t>
      </w:r>
      <w:r w:rsidR="005078C2">
        <w:t xml:space="preserve"> the notes and coins held by the commercial banking system within their tills and cash machines</w:t>
      </w:r>
      <w:r w:rsidR="00FD3B20">
        <w:t xml:space="preserve">. Data relating to notes and coins in circulation </w:t>
      </w:r>
      <w:r>
        <w:t>is acquired from the Bank of England dataset ‘q</w:t>
      </w:r>
      <w:r w:rsidRPr="00845D48">
        <w:t>uarterly amounts outstanding of M4 private sector sterling holdings of notes and coin (in sterling billions) not seasonally adjusted</w:t>
      </w:r>
      <w:r>
        <w:t>’</w:t>
      </w:r>
      <w:r w:rsidRPr="00845D48">
        <w:t xml:space="preserve"> [</w:t>
      </w:r>
      <w:r>
        <w:t xml:space="preserve">which is dataset </w:t>
      </w:r>
      <w:r w:rsidRPr="00845D48">
        <w:t>LPQVQKT]</w:t>
      </w:r>
      <w:r>
        <w:t>. Sterling M4</w:t>
      </w:r>
      <w:r w:rsidR="0054766D">
        <w:t>ex</w:t>
      </w:r>
      <w:r>
        <w:t xml:space="preserve"> </w:t>
      </w:r>
      <w:r w:rsidR="0054766D">
        <w:t>(</w:t>
      </w:r>
      <w:r>
        <w:t>ex</w:t>
      </w:r>
      <w:r w:rsidR="0054766D">
        <w:t>cluding intermediate OFCs (other financial corporations))</w:t>
      </w:r>
      <w:r>
        <w:t xml:space="preserve"> </w:t>
      </w:r>
      <w:r w:rsidR="005078C2">
        <w:t>measures broad money in circulation by presenting the deposit liabilities of banks and building societies, whilst excluding commercial bank reserves held at the Bank of England. Sterling M4ex was acquired from</w:t>
      </w:r>
      <w:r w:rsidR="0054766D">
        <w:t xml:space="preserve"> Bank of England dataset ‘q</w:t>
      </w:r>
      <w:r w:rsidRPr="00845D48">
        <w:t>uarterly amounts outstanding of UK resident monetary financial institutions' sterling M4 liabilities to Private sector excluding intermediate OFCs (in sterling billions) not seasonally adjusted</w:t>
      </w:r>
      <w:r w:rsidR="0054766D">
        <w:t>’</w:t>
      </w:r>
      <w:r w:rsidRPr="00845D48">
        <w:t xml:space="preserve"> [</w:t>
      </w:r>
      <w:r>
        <w:t xml:space="preserve">Bank of England dataset </w:t>
      </w:r>
      <w:r w:rsidRPr="00845D48">
        <w:t>RPQB3DQ]</w:t>
      </w:r>
      <w:r>
        <w:t xml:space="preserve"> to calculate the total amount of money in circulation</w:t>
      </w:r>
      <w:r w:rsidR="0054766D">
        <w:t xml:space="preserve"> for the purpose of calculating the total value of commercial bank credit money (liabilities of commercial banks)</w:t>
      </w:r>
      <w:r>
        <w:t xml:space="preserve">. The total value of </w:t>
      </w:r>
      <w:r w:rsidR="0054766D">
        <w:t xml:space="preserve">commercial </w:t>
      </w:r>
      <w:r>
        <w:t xml:space="preserve">bank </w:t>
      </w:r>
      <w:r w:rsidR="0054766D">
        <w:t>credit money</w:t>
      </w:r>
      <w:r>
        <w:t xml:space="preserve"> </w:t>
      </w:r>
      <w:r w:rsidR="004F3B38">
        <w:t>is obtained by calculat</w:t>
      </w:r>
      <w:r w:rsidR="0054766D">
        <w:t>ing</w:t>
      </w:r>
      <w:r w:rsidR="004F3B38">
        <w:t xml:space="preserve"> </w:t>
      </w:r>
      <w:r>
        <w:t xml:space="preserve">the difference between these two values. </w:t>
      </w:r>
    </w:p>
  </w:endnote>
  <w:endnote w:id="2">
    <w:p w14:paraId="4B883D74" w14:textId="77777777" w:rsidR="00DE26C6" w:rsidRDefault="00DE26C6" w:rsidP="00DE26C6">
      <w:pPr>
        <w:pStyle w:val="EndnoteText"/>
      </w:pPr>
      <w:r>
        <w:rPr>
          <w:rStyle w:val="EndnoteReference"/>
        </w:rPr>
        <w:endnoteRef/>
      </w:r>
      <w:r>
        <w:t xml:space="preserve"> </w:t>
      </w:r>
      <w:r w:rsidRPr="00D455C1">
        <w:t>The central bank also influences demand for loans when setting the central bank base rate. A lower interest rate encourages increased bank borrowing, as a consequence of reducing borrowers cost of bringing forward future consumption. The central bank also influences demand for bank borrowing by influencing wider economic conditions, as a consequence of the central bank’s monetary policy stance.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365500"/>
      <w:docPartObj>
        <w:docPartGallery w:val="Page Numbers (Bottom of Page)"/>
        <w:docPartUnique/>
      </w:docPartObj>
    </w:sdtPr>
    <w:sdtEndPr>
      <w:rPr>
        <w:noProof/>
      </w:rPr>
    </w:sdtEndPr>
    <w:sdtContent>
      <w:p w14:paraId="26EDB36A" w14:textId="70391875" w:rsidR="004F3B38" w:rsidRDefault="004F3B38">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5E48D386" w14:textId="77777777" w:rsidR="004F3B38" w:rsidRDefault="004F3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50525" w14:textId="77777777" w:rsidR="003316DB" w:rsidRDefault="003316DB" w:rsidP="00845D48">
      <w:pPr>
        <w:spacing w:after="0" w:line="240" w:lineRule="auto"/>
      </w:pPr>
      <w:r>
        <w:separator/>
      </w:r>
    </w:p>
  </w:footnote>
  <w:footnote w:type="continuationSeparator" w:id="0">
    <w:p w14:paraId="63FD348A" w14:textId="77777777" w:rsidR="003316DB" w:rsidRDefault="003316DB" w:rsidP="00845D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3A"/>
    <w:rsid w:val="00006371"/>
    <w:rsid w:val="000124F9"/>
    <w:rsid w:val="000417C3"/>
    <w:rsid w:val="00075B44"/>
    <w:rsid w:val="00084C1D"/>
    <w:rsid w:val="000C7B0F"/>
    <w:rsid w:val="000E5613"/>
    <w:rsid w:val="000E7DA0"/>
    <w:rsid w:val="000F6EFD"/>
    <w:rsid w:val="00107BCC"/>
    <w:rsid w:val="0015416F"/>
    <w:rsid w:val="001630E0"/>
    <w:rsid w:val="001B1549"/>
    <w:rsid w:val="001D16C0"/>
    <w:rsid w:val="002367C6"/>
    <w:rsid w:val="00253F15"/>
    <w:rsid w:val="002B5346"/>
    <w:rsid w:val="00315480"/>
    <w:rsid w:val="0032382B"/>
    <w:rsid w:val="003316DB"/>
    <w:rsid w:val="0033263C"/>
    <w:rsid w:val="00334125"/>
    <w:rsid w:val="00335DC1"/>
    <w:rsid w:val="00372E29"/>
    <w:rsid w:val="00394716"/>
    <w:rsid w:val="003C5375"/>
    <w:rsid w:val="0041058C"/>
    <w:rsid w:val="00430F08"/>
    <w:rsid w:val="00431BE5"/>
    <w:rsid w:val="00443984"/>
    <w:rsid w:val="004551CB"/>
    <w:rsid w:val="004C42D9"/>
    <w:rsid w:val="004E108D"/>
    <w:rsid w:val="004F3B38"/>
    <w:rsid w:val="005078C2"/>
    <w:rsid w:val="0054766D"/>
    <w:rsid w:val="0055492B"/>
    <w:rsid w:val="00573384"/>
    <w:rsid w:val="005D74CE"/>
    <w:rsid w:val="005E5247"/>
    <w:rsid w:val="00613268"/>
    <w:rsid w:val="00617645"/>
    <w:rsid w:val="006226CF"/>
    <w:rsid w:val="006A2A00"/>
    <w:rsid w:val="006A52A2"/>
    <w:rsid w:val="006B140C"/>
    <w:rsid w:val="006E0456"/>
    <w:rsid w:val="00704F60"/>
    <w:rsid w:val="00705142"/>
    <w:rsid w:val="0072597D"/>
    <w:rsid w:val="00726EDC"/>
    <w:rsid w:val="00790CD8"/>
    <w:rsid w:val="007C04FB"/>
    <w:rsid w:val="007D5466"/>
    <w:rsid w:val="008031EE"/>
    <w:rsid w:val="00841A1A"/>
    <w:rsid w:val="00845D48"/>
    <w:rsid w:val="00863D1A"/>
    <w:rsid w:val="008848D1"/>
    <w:rsid w:val="008903B0"/>
    <w:rsid w:val="0089181E"/>
    <w:rsid w:val="00944278"/>
    <w:rsid w:val="00971D41"/>
    <w:rsid w:val="009B363A"/>
    <w:rsid w:val="009D4E1B"/>
    <w:rsid w:val="009F1CBB"/>
    <w:rsid w:val="00A23FB0"/>
    <w:rsid w:val="00A34B0C"/>
    <w:rsid w:val="00A43B9C"/>
    <w:rsid w:val="00AC62AF"/>
    <w:rsid w:val="00AD5DAF"/>
    <w:rsid w:val="00AE1C8D"/>
    <w:rsid w:val="00AE2A62"/>
    <w:rsid w:val="00B053DB"/>
    <w:rsid w:val="00B4708D"/>
    <w:rsid w:val="00B64ED8"/>
    <w:rsid w:val="00BE6983"/>
    <w:rsid w:val="00C17D5C"/>
    <w:rsid w:val="00C2201D"/>
    <w:rsid w:val="00C925B9"/>
    <w:rsid w:val="00CE7337"/>
    <w:rsid w:val="00D455C1"/>
    <w:rsid w:val="00D53541"/>
    <w:rsid w:val="00D5591C"/>
    <w:rsid w:val="00D61670"/>
    <w:rsid w:val="00D75555"/>
    <w:rsid w:val="00D9284E"/>
    <w:rsid w:val="00DC0801"/>
    <w:rsid w:val="00DD3E41"/>
    <w:rsid w:val="00DE26C6"/>
    <w:rsid w:val="00E01512"/>
    <w:rsid w:val="00E43DED"/>
    <w:rsid w:val="00E64BBD"/>
    <w:rsid w:val="00E76C02"/>
    <w:rsid w:val="00EB4C89"/>
    <w:rsid w:val="00EB5A71"/>
    <w:rsid w:val="00ED636A"/>
    <w:rsid w:val="00EF13DA"/>
    <w:rsid w:val="00EF1DF8"/>
    <w:rsid w:val="00F21B77"/>
    <w:rsid w:val="00F65ED6"/>
    <w:rsid w:val="00F67E04"/>
    <w:rsid w:val="00F7451F"/>
    <w:rsid w:val="00F76939"/>
    <w:rsid w:val="00F8234A"/>
    <w:rsid w:val="00F90437"/>
    <w:rsid w:val="00FD3B20"/>
    <w:rsid w:val="00FD5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C6A4A7"/>
  <w15:chartTrackingRefBased/>
  <w15:docId w15:val="{CFB5A5DD-240D-4BE5-8386-27B1F58D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4F9"/>
    <w:pPr>
      <w:jc w:val="both"/>
    </w:pPr>
  </w:style>
  <w:style w:type="paragraph" w:styleId="Heading1">
    <w:name w:val="heading 1"/>
    <w:basedOn w:val="Normal"/>
    <w:next w:val="Normal"/>
    <w:link w:val="Heading1Char"/>
    <w:uiPriority w:val="9"/>
    <w:qFormat/>
    <w:rsid w:val="00443984"/>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F769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984"/>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443984"/>
  </w:style>
  <w:style w:type="paragraph" w:styleId="NormalWeb">
    <w:name w:val="Normal (Web)"/>
    <w:basedOn w:val="Normal"/>
    <w:uiPriority w:val="99"/>
    <w:semiHidden/>
    <w:unhideWhenUsed/>
    <w:rsid w:val="00573384"/>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2Char">
    <w:name w:val="Heading 2 Char"/>
    <w:basedOn w:val="DefaultParagraphFont"/>
    <w:link w:val="Heading2"/>
    <w:uiPriority w:val="9"/>
    <w:rsid w:val="00F76939"/>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845D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5D48"/>
    <w:rPr>
      <w:sz w:val="20"/>
      <w:szCs w:val="20"/>
    </w:rPr>
  </w:style>
  <w:style w:type="character" w:styleId="EndnoteReference">
    <w:name w:val="endnote reference"/>
    <w:basedOn w:val="DefaultParagraphFont"/>
    <w:uiPriority w:val="99"/>
    <w:semiHidden/>
    <w:unhideWhenUsed/>
    <w:rsid w:val="00845D48"/>
    <w:rPr>
      <w:vertAlign w:val="superscript"/>
    </w:rPr>
  </w:style>
  <w:style w:type="paragraph" w:styleId="Header">
    <w:name w:val="header"/>
    <w:basedOn w:val="Normal"/>
    <w:link w:val="HeaderChar"/>
    <w:uiPriority w:val="99"/>
    <w:unhideWhenUsed/>
    <w:rsid w:val="004F3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B38"/>
  </w:style>
  <w:style w:type="paragraph" w:styleId="Footer">
    <w:name w:val="footer"/>
    <w:basedOn w:val="Normal"/>
    <w:link w:val="FooterChar"/>
    <w:uiPriority w:val="99"/>
    <w:unhideWhenUsed/>
    <w:rsid w:val="004F3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1489">
      <w:bodyDiv w:val="1"/>
      <w:marLeft w:val="0"/>
      <w:marRight w:val="0"/>
      <w:marTop w:val="0"/>
      <w:marBottom w:val="0"/>
      <w:divBdr>
        <w:top w:val="none" w:sz="0" w:space="0" w:color="auto"/>
        <w:left w:val="none" w:sz="0" w:space="0" w:color="auto"/>
        <w:bottom w:val="none" w:sz="0" w:space="0" w:color="auto"/>
        <w:right w:val="none" w:sz="0" w:space="0" w:color="auto"/>
      </w:divBdr>
    </w:div>
    <w:div w:id="568878983">
      <w:bodyDiv w:val="1"/>
      <w:marLeft w:val="0"/>
      <w:marRight w:val="0"/>
      <w:marTop w:val="0"/>
      <w:marBottom w:val="0"/>
      <w:divBdr>
        <w:top w:val="none" w:sz="0" w:space="0" w:color="auto"/>
        <w:left w:val="none" w:sz="0" w:space="0" w:color="auto"/>
        <w:bottom w:val="none" w:sz="0" w:space="0" w:color="auto"/>
        <w:right w:val="none" w:sz="0" w:space="0" w:color="auto"/>
      </w:divBdr>
    </w:div>
    <w:div w:id="626396433">
      <w:bodyDiv w:val="1"/>
      <w:marLeft w:val="0"/>
      <w:marRight w:val="0"/>
      <w:marTop w:val="0"/>
      <w:marBottom w:val="0"/>
      <w:divBdr>
        <w:top w:val="none" w:sz="0" w:space="0" w:color="auto"/>
        <w:left w:val="none" w:sz="0" w:space="0" w:color="auto"/>
        <w:bottom w:val="none" w:sz="0" w:space="0" w:color="auto"/>
        <w:right w:val="none" w:sz="0" w:space="0" w:color="auto"/>
      </w:divBdr>
    </w:div>
    <w:div w:id="739181541">
      <w:bodyDiv w:val="1"/>
      <w:marLeft w:val="0"/>
      <w:marRight w:val="0"/>
      <w:marTop w:val="0"/>
      <w:marBottom w:val="0"/>
      <w:divBdr>
        <w:top w:val="none" w:sz="0" w:space="0" w:color="auto"/>
        <w:left w:val="none" w:sz="0" w:space="0" w:color="auto"/>
        <w:bottom w:val="none" w:sz="0" w:space="0" w:color="auto"/>
        <w:right w:val="none" w:sz="0" w:space="0" w:color="auto"/>
      </w:divBdr>
    </w:div>
    <w:div w:id="797256612">
      <w:bodyDiv w:val="1"/>
      <w:marLeft w:val="0"/>
      <w:marRight w:val="0"/>
      <w:marTop w:val="0"/>
      <w:marBottom w:val="0"/>
      <w:divBdr>
        <w:top w:val="none" w:sz="0" w:space="0" w:color="auto"/>
        <w:left w:val="none" w:sz="0" w:space="0" w:color="auto"/>
        <w:bottom w:val="none" w:sz="0" w:space="0" w:color="auto"/>
        <w:right w:val="none" w:sz="0" w:space="0" w:color="auto"/>
      </w:divBdr>
    </w:div>
    <w:div w:id="888803731">
      <w:bodyDiv w:val="1"/>
      <w:marLeft w:val="0"/>
      <w:marRight w:val="0"/>
      <w:marTop w:val="0"/>
      <w:marBottom w:val="0"/>
      <w:divBdr>
        <w:top w:val="none" w:sz="0" w:space="0" w:color="auto"/>
        <w:left w:val="none" w:sz="0" w:space="0" w:color="auto"/>
        <w:bottom w:val="none" w:sz="0" w:space="0" w:color="auto"/>
        <w:right w:val="none" w:sz="0" w:space="0" w:color="auto"/>
      </w:divBdr>
    </w:div>
    <w:div w:id="1032152196">
      <w:bodyDiv w:val="1"/>
      <w:marLeft w:val="0"/>
      <w:marRight w:val="0"/>
      <w:marTop w:val="0"/>
      <w:marBottom w:val="0"/>
      <w:divBdr>
        <w:top w:val="none" w:sz="0" w:space="0" w:color="auto"/>
        <w:left w:val="none" w:sz="0" w:space="0" w:color="auto"/>
        <w:bottom w:val="none" w:sz="0" w:space="0" w:color="auto"/>
        <w:right w:val="none" w:sz="0" w:space="0" w:color="auto"/>
      </w:divBdr>
    </w:div>
    <w:div w:id="1318219346">
      <w:bodyDiv w:val="1"/>
      <w:marLeft w:val="0"/>
      <w:marRight w:val="0"/>
      <w:marTop w:val="0"/>
      <w:marBottom w:val="0"/>
      <w:divBdr>
        <w:top w:val="none" w:sz="0" w:space="0" w:color="auto"/>
        <w:left w:val="none" w:sz="0" w:space="0" w:color="auto"/>
        <w:bottom w:val="none" w:sz="0" w:space="0" w:color="auto"/>
        <w:right w:val="none" w:sz="0" w:space="0" w:color="auto"/>
      </w:divBdr>
    </w:div>
    <w:div w:id="1465152116">
      <w:bodyDiv w:val="1"/>
      <w:marLeft w:val="0"/>
      <w:marRight w:val="0"/>
      <w:marTop w:val="0"/>
      <w:marBottom w:val="0"/>
      <w:divBdr>
        <w:top w:val="none" w:sz="0" w:space="0" w:color="auto"/>
        <w:left w:val="none" w:sz="0" w:space="0" w:color="auto"/>
        <w:bottom w:val="none" w:sz="0" w:space="0" w:color="auto"/>
        <w:right w:val="none" w:sz="0" w:space="0" w:color="auto"/>
      </w:divBdr>
    </w:div>
    <w:div w:id="1571619318">
      <w:bodyDiv w:val="1"/>
      <w:marLeft w:val="0"/>
      <w:marRight w:val="0"/>
      <w:marTop w:val="0"/>
      <w:marBottom w:val="0"/>
      <w:divBdr>
        <w:top w:val="none" w:sz="0" w:space="0" w:color="auto"/>
        <w:left w:val="none" w:sz="0" w:space="0" w:color="auto"/>
        <w:bottom w:val="none" w:sz="0" w:space="0" w:color="auto"/>
        <w:right w:val="none" w:sz="0" w:space="0" w:color="auto"/>
      </w:divBdr>
    </w:div>
    <w:div w:id="1711108842">
      <w:bodyDiv w:val="1"/>
      <w:marLeft w:val="0"/>
      <w:marRight w:val="0"/>
      <w:marTop w:val="0"/>
      <w:marBottom w:val="0"/>
      <w:divBdr>
        <w:top w:val="none" w:sz="0" w:space="0" w:color="auto"/>
        <w:left w:val="none" w:sz="0" w:space="0" w:color="auto"/>
        <w:bottom w:val="none" w:sz="0" w:space="0" w:color="auto"/>
        <w:right w:val="none" w:sz="0" w:space="0" w:color="auto"/>
      </w:divBdr>
    </w:div>
    <w:div w:id="1729063630">
      <w:bodyDiv w:val="1"/>
      <w:marLeft w:val="0"/>
      <w:marRight w:val="0"/>
      <w:marTop w:val="0"/>
      <w:marBottom w:val="0"/>
      <w:divBdr>
        <w:top w:val="none" w:sz="0" w:space="0" w:color="auto"/>
        <w:left w:val="none" w:sz="0" w:space="0" w:color="auto"/>
        <w:bottom w:val="none" w:sz="0" w:space="0" w:color="auto"/>
        <w:right w:val="none" w:sz="0" w:space="0" w:color="auto"/>
      </w:divBdr>
    </w:div>
    <w:div w:id="1750422640">
      <w:bodyDiv w:val="1"/>
      <w:marLeft w:val="0"/>
      <w:marRight w:val="0"/>
      <w:marTop w:val="0"/>
      <w:marBottom w:val="0"/>
      <w:divBdr>
        <w:top w:val="none" w:sz="0" w:space="0" w:color="auto"/>
        <w:left w:val="none" w:sz="0" w:space="0" w:color="auto"/>
        <w:bottom w:val="none" w:sz="0" w:space="0" w:color="auto"/>
        <w:right w:val="none" w:sz="0" w:space="0" w:color="auto"/>
      </w:divBdr>
    </w:div>
    <w:div w:id="189623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aurice\Documents\Economics\Bank%20of%20England%20%20database%20net%20lending%20to%20private%20secto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Total money (including</a:t>
            </a:r>
            <a:r>
              <a:rPr lang="en-GB" baseline="0"/>
              <a:t> money </a:t>
            </a:r>
            <a:r>
              <a:rPr lang="en-GB"/>
              <a:t>created</a:t>
            </a:r>
            <a:r>
              <a:rPr lang="en-GB" baseline="0"/>
              <a:t> by banks) in relation to cash in circulation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Sheet1!$F$2</c:f>
              <c:strCache>
                <c:ptCount val="1"/>
                <c:pt idx="0">
                  <c:v>Cash (notes and coins in circulation) in sterling billions [LPQVQKT / 1000]. </c:v>
                </c:pt>
              </c:strCache>
            </c:strRef>
          </c:tx>
          <c:spPr>
            <a:solidFill>
              <a:srgbClr val="DBDDFD"/>
            </a:solidFill>
            <a:ln>
              <a:noFill/>
            </a:ln>
            <a:effectLst/>
          </c:spPr>
          <c:cat>
            <c:strRef>
              <c:f>Sheet1!$E$4:$E$84</c:f>
              <c:strCache>
                <c:ptCount val="81"/>
                <c:pt idx="0">
                  <c:v>31 Dec 97</c:v>
                </c:pt>
                <c:pt idx="1">
                  <c:v>31 Mar 98</c:v>
                </c:pt>
                <c:pt idx="2">
                  <c:v>30 Jun 98</c:v>
                </c:pt>
                <c:pt idx="3">
                  <c:v>30 Sep 98</c:v>
                </c:pt>
                <c:pt idx="4">
                  <c:v>31 Dec 98</c:v>
                </c:pt>
                <c:pt idx="5">
                  <c:v>31 Mar 99</c:v>
                </c:pt>
                <c:pt idx="6">
                  <c:v>30 Jun 99</c:v>
                </c:pt>
                <c:pt idx="7">
                  <c:v>30 Sep 99</c:v>
                </c:pt>
                <c:pt idx="8">
                  <c:v>31 Dec 99</c:v>
                </c:pt>
                <c:pt idx="9">
                  <c:v>31 Mar 00</c:v>
                </c:pt>
                <c:pt idx="10">
                  <c:v>30 Jun 00</c:v>
                </c:pt>
                <c:pt idx="11">
                  <c:v>30 Sep 00</c:v>
                </c:pt>
                <c:pt idx="12">
                  <c:v>31 Dec 00</c:v>
                </c:pt>
                <c:pt idx="13">
                  <c:v>31 Mar 01</c:v>
                </c:pt>
                <c:pt idx="14">
                  <c:v>30 Jun 01</c:v>
                </c:pt>
                <c:pt idx="15">
                  <c:v>30 Sep 01</c:v>
                </c:pt>
                <c:pt idx="16">
                  <c:v>31 Dec 01</c:v>
                </c:pt>
                <c:pt idx="17">
                  <c:v>31 Mar 02</c:v>
                </c:pt>
                <c:pt idx="18">
                  <c:v>30 Jun 02</c:v>
                </c:pt>
                <c:pt idx="19">
                  <c:v>30 Sep 02</c:v>
                </c:pt>
                <c:pt idx="20">
                  <c:v>31 Dec 02</c:v>
                </c:pt>
                <c:pt idx="21">
                  <c:v>31 Mar 03</c:v>
                </c:pt>
                <c:pt idx="22">
                  <c:v>30 Jun 03</c:v>
                </c:pt>
                <c:pt idx="23">
                  <c:v>30 Sep 03</c:v>
                </c:pt>
                <c:pt idx="24">
                  <c:v>31 Dec 03</c:v>
                </c:pt>
                <c:pt idx="25">
                  <c:v>31 Mar 04</c:v>
                </c:pt>
                <c:pt idx="26">
                  <c:v>30 Jun 04</c:v>
                </c:pt>
                <c:pt idx="27">
                  <c:v>30 Sep 04</c:v>
                </c:pt>
                <c:pt idx="28">
                  <c:v>31 Dec 04</c:v>
                </c:pt>
                <c:pt idx="29">
                  <c:v>31 Mar 05</c:v>
                </c:pt>
                <c:pt idx="30">
                  <c:v>30 Jun 05</c:v>
                </c:pt>
                <c:pt idx="31">
                  <c:v>30 Sep 05</c:v>
                </c:pt>
                <c:pt idx="32">
                  <c:v>31 Dec 05</c:v>
                </c:pt>
                <c:pt idx="33">
                  <c:v>31 Mar 06</c:v>
                </c:pt>
                <c:pt idx="34">
                  <c:v>30 Jun 06</c:v>
                </c:pt>
                <c:pt idx="35">
                  <c:v>30 Sep 06</c:v>
                </c:pt>
                <c:pt idx="36">
                  <c:v>31 Dec 06</c:v>
                </c:pt>
                <c:pt idx="37">
                  <c:v>31 Mar 07</c:v>
                </c:pt>
                <c:pt idx="38">
                  <c:v>30 Jun 07</c:v>
                </c:pt>
                <c:pt idx="39">
                  <c:v>30 Sep 07</c:v>
                </c:pt>
                <c:pt idx="40">
                  <c:v>31 Dec 07</c:v>
                </c:pt>
                <c:pt idx="41">
                  <c:v>31 Mar 08</c:v>
                </c:pt>
                <c:pt idx="42">
                  <c:v>30 Jun 08</c:v>
                </c:pt>
                <c:pt idx="43">
                  <c:v>30 Sep 08</c:v>
                </c:pt>
                <c:pt idx="44">
                  <c:v>31 Dec 08</c:v>
                </c:pt>
                <c:pt idx="45">
                  <c:v>31 Mar 09</c:v>
                </c:pt>
                <c:pt idx="46">
                  <c:v>30 Jun 09</c:v>
                </c:pt>
                <c:pt idx="47">
                  <c:v>30 Sep 09</c:v>
                </c:pt>
                <c:pt idx="48">
                  <c:v>31 Dec 09</c:v>
                </c:pt>
                <c:pt idx="49">
                  <c:v>31 Mar 10</c:v>
                </c:pt>
                <c:pt idx="50">
                  <c:v>30 Jun 10</c:v>
                </c:pt>
                <c:pt idx="51">
                  <c:v>30 Sep 10</c:v>
                </c:pt>
                <c:pt idx="52">
                  <c:v>31 Dec 10</c:v>
                </c:pt>
                <c:pt idx="53">
                  <c:v>31 Mar 11</c:v>
                </c:pt>
                <c:pt idx="54">
                  <c:v>30 Jun 11</c:v>
                </c:pt>
                <c:pt idx="55">
                  <c:v>30 Sep 11</c:v>
                </c:pt>
                <c:pt idx="56">
                  <c:v>31 Dec 11</c:v>
                </c:pt>
                <c:pt idx="57">
                  <c:v>31 Mar 12</c:v>
                </c:pt>
                <c:pt idx="58">
                  <c:v>30 Jun 12</c:v>
                </c:pt>
                <c:pt idx="59">
                  <c:v>30 Sep 12</c:v>
                </c:pt>
                <c:pt idx="60">
                  <c:v>31 Dec 12</c:v>
                </c:pt>
                <c:pt idx="61">
                  <c:v>31 Mar 13</c:v>
                </c:pt>
                <c:pt idx="62">
                  <c:v>30 Jun 13</c:v>
                </c:pt>
                <c:pt idx="63">
                  <c:v>30 Sep 13</c:v>
                </c:pt>
                <c:pt idx="64">
                  <c:v>31 Dec 13</c:v>
                </c:pt>
                <c:pt idx="65">
                  <c:v>31 Mar 14</c:v>
                </c:pt>
                <c:pt idx="66">
                  <c:v>30 Jun 14</c:v>
                </c:pt>
                <c:pt idx="67">
                  <c:v>30 Sep 14</c:v>
                </c:pt>
                <c:pt idx="68">
                  <c:v>31 Dec 14</c:v>
                </c:pt>
                <c:pt idx="69">
                  <c:v>31 Mar 15</c:v>
                </c:pt>
                <c:pt idx="70">
                  <c:v>30 Jun 15</c:v>
                </c:pt>
                <c:pt idx="71">
                  <c:v>30 Sep 15</c:v>
                </c:pt>
                <c:pt idx="72">
                  <c:v>31 Dec 15</c:v>
                </c:pt>
                <c:pt idx="73">
                  <c:v>31 Mar 16</c:v>
                </c:pt>
                <c:pt idx="74">
                  <c:v>30 Jun 16</c:v>
                </c:pt>
                <c:pt idx="75">
                  <c:v>30 Sep 16</c:v>
                </c:pt>
                <c:pt idx="76">
                  <c:v>31 Dec 16</c:v>
                </c:pt>
                <c:pt idx="77">
                  <c:v>31 Mar 17</c:v>
                </c:pt>
                <c:pt idx="78">
                  <c:v>30 Jun 17</c:v>
                </c:pt>
                <c:pt idx="79">
                  <c:v>30 Sep 17</c:v>
                </c:pt>
                <c:pt idx="80">
                  <c:v>31 Dec 17</c:v>
                </c:pt>
              </c:strCache>
            </c:strRef>
          </c:cat>
          <c:val>
            <c:numRef>
              <c:f>Sheet1!$F$4:$F$84</c:f>
              <c:numCache>
                <c:formatCode>#,##0</c:formatCode>
                <c:ptCount val="81"/>
                <c:pt idx="0">
                  <c:v>22.242000000000001</c:v>
                </c:pt>
                <c:pt idx="1">
                  <c:v>21.361999999999998</c:v>
                </c:pt>
                <c:pt idx="2">
                  <c:v>21.829000000000001</c:v>
                </c:pt>
                <c:pt idx="3">
                  <c:v>22.050999999999998</c:v>
                </c:pt>
                <c:pt idx="4">
                  <c:v>23.704999999999998</c:v>
                </c:pt>
                <c:pt idx="5">
                  <c:v>23.045000000000002</c:v>
                </c:pt>
                <c:pt idx="6">
                  <c:v>23.202999999999999</c:v>
                </c:pt>
                <c:pt idx="7">
                  <c:v>23.297000000000001</c:v>
                </c:pt>
                <c:pt idx="8">
                  <c:v>26.268999999999998</c:v>
                </c:pt>
                <c:pt idx="9">
                  <c:v>25.064</c:v>
                </c:pt>
                <c:pt idx="10">
                  <c:v>25.533000000000001</c:v>
                </c:pt>
                <c:pt idx="11">
                  <c:v>26.111000000000001</c:v>
                </c:pt>
                <c:pt idx="12">
                  <c:v>28.173999999999999</c:v>
                </c:pt>
                <c:pt idx="13">
                  <c:v>26.373000000000001</c:v>
                </c:pt>
                <c:pt idx="14">
                  <c:v>27.367999999999999</c:v>
                </c:pt>
                <c:pt idx="15">
                  <c:v>28.16</c:v>
                </c:pt>
                <c:pt idx="16">
                  <c:v>30.45</c:v>
                </c:pt>
                <c:pt idx="17">
                  <c:v>29.991</c:v>
                </c:pt>
                <c:pt idx="18">
                  <c:v>29.969000000000001</c:v>
                </c:pt>
                <c:pt idx="19">
                  <c:v>29.905000000000001</c:v>
                </c:pt>
                <c:pt idx="20">
                  <c:v>31.888999999999999</c:v>
                </c:pt>
                <c:pt idx="21">
                  <c:v>31.484000000000002</c:v>
                </c:pt>
                <c:pt idx="22">
                  <c:v>32.07</c:v>
                </c:pt>
                <c:pt idx="23">
                  <c:v>32.368000000000002</c:v>
                </c:pt>
                <c:pt idx="24">
                  <c:v>34.01</c:v>
                </c:pt>
                <c:pt idx="25">
                  <c:v>33.284999999999997</c:v>
                </c:pt>
                <c:pt idx="26">
                  <c:v>33.356999999999999</c:v>
                </c:pt>
                <c:pt idx="27">
                  <c:v>34.064</c:v>
                </c:pt>
                <c:pt idx="28">
                  <c:v>36.409999999999997</c:v>
                </c:pt>
                <c:pt idx="29">
                  <c:v>35.383000000000003</c:v>
                </c:pt>
                <c:pt idx="30">
                  <c:v>35.356999999999999</c:v>
                </c:pt>
                <c:pt idx="31">
                  <c:v>36.036999999999999</c:v>
                </c:pt>
                <c:pt idx="32">
                  <c:v>38.508000000000003</c:v>
                </c:pt>
                <c:pt idx="33">
                  <c:v>38.058999999999997</c:v>
                </c:pt>
                <c:pt idx="34">
                  <c:v>38.258000000000003</c:v>
                </c:pt>
                <c:pt idx="35">
                  <c:v>38.429000000000002</c:v>
                </c:pt>
                <c:pt idx="36">
                  <c:v>40.545999999999999</c:v>
                </c:pt>
                <c:pt idx="37">
                  <c:v>39.393999999999998</c:v>
                </c:pt>
                <c:pt idx="38">
                  <c:v>40.128999999999998</c:v>
                </c:pt>
                <c:pt idx="39">
                  <c:v>40.899000000000001</c:v>
                </c:pt>
                <c:pt idx="40">
                  <c:v>43.039000000000001</c:v>
                </c:pt>
                <c:pt idx="41">
                  <c:v>42.186</c:v>
                </c:pt>
                <c:pt idx="42">
                  <c:v>42.814</c:v>
                </c:pt>
                <c:pt idx="43">
                  <c:v>42.645000000000003</c:v>
                </c:pt>
                <c:pt idx="44">
                  <c:v>46.250999999999998</c:v>
                </c:pt>
                <c:pt idx="45">
                  <c:v>46.426000000000002</c:v>
                </c:pt>
                <c:pt idx="46">
                  <c:v>46.341000000000001</c:v>
                </c:pt>
                <c:pt idx="47">
                  <c:v>47.286999999999999</c:v>
                </c:pt>
                <c:pt idx="48">
                  <c:v>50.253</c:v>
                </c:pt>
                <c:pt idx="49">
                  <c:v>50.164000000000001</c:v>
                </c:pt>
                <c:pt idx="50">
                  <c:v>50.244</c:v>
                </c:pt>
                <c:pt idx="51">
                  <c:v>49.753999999999998</c:v>
                </c:pt>
                <c:pt idx="52">
                  <c:v>52.292999999999999</c:v>
                </c:pt>
                <c:pt idx="53">
                  <c:v>51.414999999999999</c:v>
                </c:pt>
                <c:pt idx="54">
                  <c:v>52.399000000000001</c:v>
                </c:pt>
                <c:pt idx="55">
                  <c:v>53.232999999999997</c:v>
                </c:pt>
                <c:pt idx="56">
                  <c:v>55.005000000000003</c:v>
                </c:pt>
                <c:pt idx="57">
                  <c:v>54.76</c:v>
                </c:pt>
                <c:pt idx="58">
                  <c:v>55.616</c:v>
                </c:pt>
                <c:pt idx="59">
                  <c:v>55.822000000000003</c:v>
                </c:pt>
                <c:pt idx="60">
                  <c:v>57.82</c:v>
                </c:pt>
                <c:pt idx="61">
                  <c:v>57.719000000000001</c:v>
                </c:pt>
                <c:pt idx="62">
                  <c:v>58.905999999999999</c:v>
                </c:pt>
                <c:pt idx="63">
                  <c:v>59.128999999999998</c:v>
                </c:pt>
                <c:pt idx="64">
                  <c:v>60.53</c:v>
                </c:pt>
                <c:pt idx="65">
                  <c:v>59.970999999999997</c:v>
                </c:pt>
                <c:pt idx="66">
                  <c:v>61.137</c:v>
                </c:pt>
                <c:pt idx="67">
                  <c:v>61.753</c:v>
                </c:pt>
                <c:pt idx="68">
                  <c:v>63.805999999999997</c:v>
                </c:pt>
                <c:pt idx="69">
                  <c:v>63.475000000000001</c:v>
                </c:pt>
                <c:pt idx="70">
                  <c:v>64.295000000000002</c:v>
                </c:pt>
                <c:pt idx="71">
                  <c:v>65.135999999999996</c:v>
                </c:pt>
                <c:pt idx="72">
                  <c:v>67.811999999999998</c:v>
                </c:pt>
                <c:pt idx="73">
                  <c:v>67.778000000000006</c:v>
                </c:pt>
                <c:pt idx="74">
                  <c:v>68.968999999999994</c:v>
                </c:pt>
                <c:pt idx="75">
                  <c:v>71.242999999999995</c:v>
                </c:pt>
                <c:pt idx="76">
                  <c:v>74.09</c:v>
                </c:pt>
                <c:pt idx="77">
                  <c:v>73.155000000000001</c:v>
                </c:pt>
                <c:pt idx="78">
                  <c:v>73.822999999999993</c:v>
                </c:pt>
                <c:pt idx="79">
                  <c:v>74.212000000000003</c:v>
                </c:pt>
                <c:pt idx="80">
                  <c:v>74.373999999999995</c:v>
                </c:pt>
              </c:numCache>
            </c:numRef>
          </c:val>
          <c:extLst>
            <c:ext xmlns:c16="http://schemas.microsoft.com/office/drawing/2014/chart" uri="{C3380CC4-5D6E-409C-BE32-E72D297353CC}">
              <c16:uniqueId val="{00000000-CB52-4501-ADC1-AB53F70BBB37}"/>
            </c:ext>
          </c:extLst>
        </c:ser>
        <c:ser>
          <c:idx val="1"/>
          <c:order val="1"/>
          <c:tx>
            <c:strRef>
              <c:f>Sheet1!$G$2</c:f>
              <c:strCache>
                <c:ptCount val="1"/>
                <c:pt idx="0">
                  <c:v>Bank Deposits</c:v>
                </c:pt>
              </c:strCache>
            </c:strRef>
          </c:tx>
          <c:spPr>
            <a:solidFill>
              <a:srgbClr val="FEB8C7"/>
            </a:solidFill>
            <a:ln>
              <a:solidFill>
                <a:srgbClr val="FF0000"/>
              </a:solidFill>
            </a:ln>
            <a:effectLst/>
          </c:spPr>
          <c:cat>
            <c:strRef>
              <c:f>Sheet1!$E$4:$E$84</c:f>
              <c:strCache>
                <c:ptCount val="81"/>
                <c:pt idx="0">
                  <c:v>31 Dec 97</c:v>
                </c:pt>
                <c:pt idx="1">
                  <c:v>31 Mar 98</c:v>
                </c:pt>
                <c:pt idx="2">
                  <c:v>30 Jun 98</c:v>
                </c:pt>
                <c:pt idx="3">
                  <c:v>30 Sep 98</c:v>
                </c:pt>
                <c:pt idx="4">
                  <c:v>31 Dec 98</c:v>
                </c:pt>
                <c:pt idx="5">
                  <c:v>31 Mar 99</c:v>
                </c:pt>
                <c:pt idx="6">
                  <c:v>30 Jun 99</c:v>
                </c:pt>
                <c:pt idx="7">
                  <c:v>30 Sep 99</c:v>
                </c:pt>
                <c:pt idx="8">
                  <c:v>31 Dec 99</c:v>
                </c:pt>
                <c:pt idx="9">
                  <c:v>31 Mar 00</c:v>
                </c:pt>
                <c:pt idx="10">
                  <c:v>30 Jun 00</c:v>
                </c:pt>
                <c:pt idx="11">
                  <c:v>30 Sep 00</c:v>
                </c:pt>
                <c:pt idx="12">
                  <c:v>31 Dec 00</c:v>
                </c:pt>
                <c:pt idx="13">
                  <c:v>31 Mar 01</c:v>
                </c:pt>
                <c:pt idx="14">
                  <c:v>30 Jun 01</c:v>
                </c:pt>
                <c:pt idx="15">
                  <c:v>30 Sep 01</c:v>
                </c:pt>
                <c:pt idx="16">
                  <c:v>31 Dec 01</c:v>
                </c:pt>
                <c:pt idx="17">
                  <c:v>31 Mar 02</c:v>
                </c:pt>
                <c:pt idx="18">
                  <c:v>30 Jun 02</c:v>
                </c:pt>
                <c:pt idx="19">
                  <c:v>30 Sep 02</c:v>
                </c:pt>
                <c:pt idx="20">
                  <c:v>31 Dec 02</c:v>
                </c:pt>
                <c:pt idx="21">
                  <c:v>31 Mar 03</c:v>
                </c:pt>
                <c:pt idx="22">
                  <c:v>30 Jun 03</c:v>
                </c:pt>
                <c:pt idx="23">
                  <c:v>30 Sep 03</c:v>
                </c:pt>
                <c:pt idx="24">
                  <c:v>31 Dec 03</c:v>
                </c:pt>
                <c:pt idx="25">
                  <c:v>31 Mar 04</c:v>
                </c:pt>
                <c:pt idx="26">
                  <c:v>30 Jun 04</c:v>
                </c:pt>
                <c:pt idx="27">
                  <c:v>30 Sep 04</c:v>
                </c:pt>
                <c:pt idx="28">
                  <c:v>31 Dec 04</c:v>
                </c:pt>
                <c:pt idx="29">
                  <c:v>31 Mar 05</c:v>
                </c:pt>
                <c:pt idx="30">
                  <c:v>30 Jun 05</c:v>
                </c:pt>
                <c:pt idx="31">
                  <c:v>30 Sep 05</c:v>
                </c:pt>
                <c:pt idx="32">
                  <c:v>31 Dec 05</c:v>
                </c:pt>
                <c:pt idx="33">
                  <c:v>31 Mar 06</c:v>
                </c:pt>
                <c:pt idx="34">
                  <c:v>30 Jun 06</c:v>
                </c:pt>
                <c:pt idx="35">
                  <c:v>30 Sep 06</c:v>
                </c:pt>
                <c:pt idx="36">
                  <c:v>31 Dec 06</c:v>
                </c:pt>
                <c:pt idx="37">
                  <c:v>31 Mar 07</c:v>
                </c:pt>
                <c:pt idx="38">
                  <c:v>30 Jun 07</c:v>
                </c:pt>
                <c:pt idx="39">
                  <c:v>30 Sep 07</c:v>
                </c:pt>
                <c:pt idx="40">
                  <c:v>31 Dec 07</c:v>
                </c:pt>
                <c:pt idx="41">
                  <c:v>31 Mar 08</c:v>
                </c:pt>
                <c:pt idx="42">
                  <c:v>30 Jun 08</c:v>
                </c:pt>
                <c:pt idx="43">
                  <c:v>30 Sep 08</c:v>
                </c:pt>
                <c:pt idx="44">
                  <c:v>31 Dec 08</c:v>
                </c:pt>
                <c:pt idx="45">
                  <c:v>31 Mar 09</c:v>
                </c:pt>
                <c:pt idx="46">
                  <c:v>30 Jun 09</c:v>
                </c:pt>
                <c:pt idx="47">
                  <c:v>30 Sep 09</c:v>
                </c:pt>
                <c:pt idx="48">
                  <c:v>31 Dec 09</c:v>
                </c:pt>
                <c:pt idx="49">
                  <c:v>31 Mar 10</c:v>
                </c:pt>
                <c:pt idx="50">
                  <c:v>30 Jun 10</c:v>
                </c:pt>
                <c:pt idx="51">
                  <c:v>30 Sep 10</c:v>
                </c:pt>
                <c:pt idx="52">
                  <c:v>31 Dec 10</c:v>
                </c:pt>
                <c:pt idx="53">
                  <c:v>31 Mar 11</c:v>
                </c:pt>
                <c:pt idx="54">
                  <c:v>30 Jun 11</c:v>
                </c:pt>
                <c:pt idx="55">
                  <c:v>30 Sep 11</c:v>
                </c:pt>
                <c:pt idx="56">
                  <c:v>31 Dec 11</c:v>
                </c:pt>
                <c:pt idx="57">
                  <c:v>31 Mar 12</c:v>
                </c:pt>
                <c:pt idx="58">
                  <c:v>30 Jun 12</c:v>
                </c:pt>
                <c:pt idx="59">
                  <c:v>30 Sep 12</c:v>
                </c:pt>
                <c:pt idx="60">
                  <c:v>31 Dec 12</c:v>
                </c:pt>
                <c:pt idx="61">
                  <c:v>31 Mar 13</c:v>
                </c:pt>
                <c:pt idx="62">
                  <c:v>30 Jun 13</c:v>
                </c:pt>
                <c:pt idx="63">
                  <c:v>30 Sep 13</c:v>
                </c:pt>
                <c:pt idx="64">
                  <c:v>31 Dec 13</c:v>
                </c:pt>
                <c:pt idx="65">
                  <c:v>31 Mar 14</c:v>
                </c:pt>
                <c:pt idx="66">
                  <c:v>30 Jun 14</c:v>
                </c:pt>
                <c:pt idx="67">
                  <c:v>30 Sep 14</c:v>
                </c:pt>
                <c:pt idx="68">
                  <c:v>31 Dec 14</c:v>
                </c:pt>
                <c:pt idx="69">
                  <c:v>31 Mar 15</c:v>
                </c:pt>
                <c:pt idx="70">
                  <c:v>30 Jun 15</c:v>
                </c:pt>
                <c:pt idx="71">
                  <c:v>30 Sep 15</c:v>
                </c:pt>
                <c:pt idx="72">
                  <c:v>31 Dec 15</c:v>
                </c:pt>
                <c:pt idx="73">
                  <c:v>31 Mar 16</c:v>
                </c:pt>
                <c:pt idx="74">
                  <c:v>30 Jun 16</c:v>
                </c:pt>
                <c:pt idx="75">
                  <c:v>30 Sep 16</c:v>
                </c:pt>
                <c:pt idx="76">
                  <c:v>31 Dec 16</c:v>
                </c:pt>
                <c:pt idx="77">
                  <c:v>31 Mar 17</c:v>
                </c:pt>
                <c:pt idx="78">
                  <c:v>30 Jun 17</c:v>
                </c:pt>
                <c:pt idx="79">
                  <c:v>30 Sep 17</c:v>
                </c:pt>
                <c:pt idx="80">
                  <c:v>31 Dec 17</c:v>
                </c:pt>
              </c:strCache>
            </c:strRef>
          </c:cat>
          <c:val>
            <c:numRef>
              <c:f>Sheet1!$G$4:$G$84</c:f>
              <c:numCache>
                <c:formatCode>#,##0</c:formatCode>
                <c:ptCount val="81"/>
                <c:pt idx="0">
                  <c:v>685.77300000000002</c:v>
                </c:pt>
                <c:pt idx="1">
                  <c:v>705.93799999999999</c:v>
                </c:pt>
                <c:pt idx="2">
                  <c:v>722.82100000000003</c:v>
                </c:pt>
                <c:pt idx="3">
                  <c:v>734.90899999999999</c:v>
                </c:pt>
                <c:pt idx="4">
                  <c:v>747.447</c:v>
                </c:pt>
                <c:pt idx="5">
                  <c:v>755.85799999999995</c:v>
                </c:pt>
                <c:pt idx="6">
                  <c:v>764.17</c:v>
                </c:pt>
                <c:pt idx="7">
                  <c:v>756.96100000000001</c:v>
                </c:pt>
                <c:pt idx="8">
                  <c:v>777.27300000000002</c:v>
                </c:pt>
                <c:pt idx="9">
                  <c:v>798.077</c:v>
                </c:pt>
                <c:pt idx="10">
                  <c:v>816.12599999999998</c:v>
                </c:pt>
                <c:pt idx="11">
                  <c:v>822.75300000000004</c:v>
                </c:pt>
                <c:pt idx="12">
                  <c:v>839.56500000000005</c:v>
                </c:pt>
                <c:pt idx="13">
                  <c:v>859.58</c:v>
                </c:pt>
                <c:pt idx="14">
                  <c:v>875.54100000000005</c:v>
                </c:pt>
                <c:pt idx="15">
                  <c:v>885.274</c:v>
                </c:pt>
                <c:pt idx="16">
                  <c:v>890.56700000000001</c:v>
                </c:pt>
                <c:pt idx="17">
                  <c:v>903.48099999999999</c:v>
                </c:pt>
                <c:pt idx="18">
                  <c:v>921.13199999999995</c:v>
                </c:pt>
                <c:pt idx="19">
                  <c:v>933.90099999999995</c:v>
                </c:pt>
                <c:pt idx="20">
                  <c:v>950.73699999999997</c:v>
                </c:pt>
                <c:pt idx="21">
                  <c:v>964.80600000000004</c:v>
                </c:pt>
                <c:pt idx="22">
                  <c:v>990.346</c:v>
                </c:pt>
                <c:pt idx="23">
                  <c:v>991.80100000000004</c:v>
                </c:pt>
                <c:pt idx="24">
                  <c:v>1019.499</c:v>
                </c:pt>
                <c:pt idx="25">
                  <c:v>1030.3820000000001</c:v>
                </c:pt>
                <c:pt idx="26">
                  <c:v>1051.329</c:v>
                </c:pt>
                <c:pt idx="27">
                  <c:v>1065.52</c:v>
                </c:pt>
                <c:pt idx="28">
                  <c:v>1094.6869999999999</c:v>
                </c:pt>
                <c:pt idx="29">
                  <c:v>1122.2449999999999</c:v>
                </c:pt>
                <c:pt idx="30">
                  <c:v>1152.4190000000001</c:v>
                </c:pt>
                <c:pt idx="31">
                  <c:v>1168.0630000000001</c:v>
                </c:pt>
                <c:pt idx="32">
                  <c:v>1204.175</c:v>
                </c:pt>
                <c:pt idx="33">
                  <c:v>1234.6130000000001</c:v>
                </c:pt>
                <c:pt idx="34">
                  <c:v>1277.33</c:v>
                </c:pt>
                <c:pt idx="35">
                  <c:v>1308.194</c:v>
                </c:pt>
                <c:pt idx="36">
                  <c:v>1330.171</c:v>
                </c:pt>
                <c:pt idx="37">
                  <c:v>1360.0340000000001</c:v>
                </c:pt>
                <c:pt idx="38">
                  <c:v>1404.048</c:v>
                </c:pt>
                <c:pt idx="39">
                  <c:v>1427.5419999999999</c:v>
                </c:pt>
                <c:pt idx="40">
                  <c:v>1448.395</c:v>
                </c:pt>
                <c:pt idx="41">
                  <c:v>1463.827</c:v>
                </c:pt>
                <c:pt idx="42">
                  <c:v>1472.894</c:v>
                </c:pt>
                <c:pt idx="43">
                  <c:v>1463.1369999999999</c:v>
                </c:pt>
                <c:pt idx="44">
                  <c:v>1479.6489999999999</c:v>
                </c:pt>
                <c:pt idx="45">
                  <c:v>1499.289</c:v>
                </c:pt>
                <c:pt idx="46">
                  <c:v>1503.068</c:v>
                </c:pt>
                <c:pt idx="47">
                  <c:v>1484.9870000000001</c:v>
                </c:pt>
                <c:pt idx="48">
                  <c:v>1489.3520000000001</c:v>
                </c:pt>
                <c:pt idx="49">
                  <c:v>1510.222</c:v>
                </c:pt>
                <c:pt idx="50">
                  <c:v>1513.7139999999999</c:v>
                </c:pt>
                <c:pt idx="51">
                  <c:v>1510.633</c:v>
                </c:pt>
                <c:pt idx="52">
                  <c:v>1518.568</c:v>
                </c:pt>
                <c:pt idx="53">
                  <c:v>1502.1030000000001</c:v>
                </c:pt>
                <c:pt idx="54">
                  <c:v>1502.2809999999999</c:v>
                </c:pt>
                <c:pt idx="55">
                  <c:v>1510.6590000000001</c:v>
                </c:pt>
                <c:pt idx="56">
                  <c:v>1505.7190000000001</c:v>
                </c:pt>
                <c:pt idx="57">
                  <c:v>1534.777</c:v>
                </c:pt>
                <c:pt idx="58">
                  <c:v>1558.125</c:v>
                </c:pt>
                <c:pt idx="59">
                  <c:v>1578.9359999999999</c:v>
                </c:pt>
                <c:pt idx="60">
                  <c:v>1583.0550000000001</c:v>
                </c:pt>
                <c:pt idx="61">
                  <c:v>1611.67</c:v>
                </c:pt>
                <c:pt idx="62">
                  <c:v>1627.2349999999999</c:v>
                </c:pt>
                <c:pt idx="63">
                  <c:v>1640.442</c:v>
                </c:pt>
                <c:pt idx="64">
                  <c:v>1653.8420000000001</c:v>
                </c:pt>
                <c:pt idx="65">
                  <c:v>1678.0050000000001</c:v>
                </c:pt>
                <c:pt idx="66">
                  <c:v>1700.7909999999999</c:v>
                </c:pt>
                <c:pt idx="67">
                  <c:v>1711.5509999999999</c:v>
                </c:pt>
                <c:pt idx="68">
                  <c:v>1727.723</c:v>
                </c:pt>
                <c:pt idx="69">
                  <c:v>1750.86</c:v>
                </c:pt>
                <c:pt idx="70">
                  <c:v>1763.2159999999999</c:v>
                </c:pt>
                <c:pt idx="71">
                  <c:v>1775.7260000000001</c:v>
                </c:pt>
                <c:pt idx="72">
                  <c:v>1797.2619999999999</c:v>
                </c:pt>
                <c:pt idx="73">
                  <c:v>1827.4480000000001</c:v>
                </c:pt>
                <c:pt idx="74">
                  <c:v>1874.886</c:v>
                </c:pt>
                <c:pt idx="75">
                  <c:v>1917.835</c:v>
                </c:pt>
                <c:pt idx="76">
                  <c:v>1930.9670000000001</c:v>
                </c:pt>
                <c:pt idx="77">
                  <c:v>1961.5360000000001</c:v>
                </c:pt>
                <c:pt idx="78">
                  <c:v>1991.828</c:v>
                </c:pt>
                <c:pt idx="79">
                  <c:v>2009.8679999999999</c:v>
                </c:pt>
                <c:pt idx="80">
                  <c:v>2029.7550000000001</c:v>
                </c:pt>
              </c:numCache>
            </c:numRef>
          </c:val>
          <c:extLst>
            <c:ext xmlns:c16="http://schemas.microsoft.com/office/drawing/2014/chart" uri="{C3380CC4-5D6E-409C-BE32-E72D297353CC}">
              <c16:uniqueId val="{00000001-CB52-4501-ADC1-AB53F70BBB37}"/>
            </c:ext>
          </c:extLst>
        </c:ser>
        <c:dLbls>
          <c:showLegendKey val="0"/>
          <c:showVal val="0"/>
          <c:showCatName val="0"/>
          <c:showSerName val="0"/>
          <c:showPercent val="0"/>
          <c:showBubbleSize val="0"/>
        </c:dLbls>
        <c:axId val="605130488"/>
        <c:axId val="605133440"/>
      </c:areaChart>
      <c:catAx>
        <c:axId val="605130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133440"/>
        <c:crosses val="autoZero"/>
        <c:auto val="1"/>
        <c:lblAlgn val="ctr"/>
        <c:lblOffset val="100"/>
        <c:noMultiLvlLbl val="0"/>
      </c:catAx>
      <c:valAx>
        <c:axId val="605133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billions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13048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Wer14</b:Tag>
    <b:SourceType>JournalArticle</b:SourceType>
    <b:Guid>{9F6127F9-05CB-47A0-A367-8482F2A50B43}</b:Guid>
    <b:Title>How do banks create money, and why can other firms not do the same?  An explanation for the coexistence of lending and deposit taking</b:Title>
    <b:Year>2014</b:Year>
    <b:JournalName>International Review of Financial Analysis (36)</b:JournalName>
    <b:Pages>71 - 77</b:Pages>
    <b:Author>
      <b:Author>
        <b:NameList>
          <b:Person>
            <b:Last>Werner</b:Last>
            <b:First>Richard</b:First>
          </b:Person>
        </b:NameList>
      </b:Author>
    </b:Author>
    <b:RefOrder>4</b:RefOrder>
  </b:Source>
  <b:Source>
    <b:Tag>McL14</b:Tag>
    <b:SourceType>DocumentFromInternetSite</b:SourceType>
    <b:Guid>{4635AF29-EF3A-4F91-9D91-CD41C4103EA0}</b:Guid>
    <b:Title>Money creation in the modern economy</b:Title>
    <b:Year>2014</b:Year>
    <b:Author>
      <b:Author>
        <b:NameList>
          <b:Person>
            <b:Last>McLeay</b:Last>
            <b:First>Michael </b:First>
          </b:Person>
          <b:Person>
            <b:Last>Radia</b:Last>
            <b:First>Amar </b:First>
          </b:Person>
          <b:Person>
            <b:Last>Thomas</b:Last>
            <b:First>Ryland </b:First>
          </b:Person>
        </b:NameList>
      </b:Author>
    </b:Author>
    <b:InternetSiteTitle>Bank of England</b:InternetSiteTitle>
    <b:URL>https://www.bankofengland.co.uk/-/media/boe/files/quarterly-bulletin/2014/money-creation-in-the-modern-economy.pdf?la=en&amp;hash=9A8788FD44A62D8BB927123544205CE476E01654</b:URL>
    <b:RefOrder>3</b:RefOrder>
  </b:Source>
  <b:Source>
    <b:Tag>Sta17</b:Tag>
    <b:SourceType>DocumentFromInternetSite</b:SourceType>
    <b:Guid>{42552F27-67EF-4F23-AAAE-82A7C32A0A54}</b:Guid>
    <b:Title>Interactive mind maps in economics</b:Title>
    <b:InternetSiteTitle>The Economics Network</b:InternetSiteTitle>
    <b:Year>2017</b:Year>
    <b:Month>September</b:Month>
    <b:URL>http://www.economicsnetwork.ac.uk/archive/starkey_mindmaps/</b:URL>
    <b:Author>
      <b:Author>
        <b:NameList>
          <b:Person>
            <b:Last>Starkey</b:Last>
            <b:First>Maurice</b:First>
          </b:Person>
        </b:NameList>
      </b:Author>
    </b:Author>
    <b:RefOrder>7</b:RefOrder>
  </b:Source>
  <b:Source>
    <b:Tag>Mac17</b:Tag>
    <b:SourceType>DocumentFromInternetSite</b:SourceType>
    <b:Guid>{1AD36FBC-CC1C-4FDC-81AD-281BF7459F53}</b:Guid>
    <b:Title>Making Money from Making Money: Seigniorage in the Modern Economy</b:Title>
    <b:InternetSiteTitle>New Economics Foundation</b:InternetSiteTitle>
    <b:Year>2017</b:Year>
    <b:Month>January</b:Month>
    <b:URL>http://neweconomics.org/wp-content/uploads/2017/05/NEF_MAKING-MONEY-OUT-OF-MONEY_amendment_E.pdf</b:URL>
    <b:Author>
      <b:Author>
        <b:NameList>
          <b:Person>
            <b:Last>Macfarlane</b:Last>
            <b:First>Laurie</b:First>
          </b:Person>
          <b:Person>
            <b:Last>Ryan-Collins</b:Last>
            <b:First>Josh</b:First>
          </b:Person>
          <b:Person>
            <b:Last>Bjerg</b:Last>
            <b:First>Ole</b:First>
          </b:Person>
          <b:Person>
            <b:Last>Nielsen</b:Last>
            <b:First>Rasmus</b:First>
          </b:Person>
          <b:Person>
            <b:Last>McCann</b:Last>
            <b:First>Duncan</b:First>
          </b:Person>
        </b:NameList>
      </b:Author>
    </b:Author>
    <b:RefOrder>5</b:RefOrder>
  </b:Source>
  <b:Source>
    <b:Tag>Rya11</b:Tag>
    <b:SourceType>Book</b:SourceType>
    <b:Guid>{77FB5C40-DF47-4016-966A-5F7051D82BF1}</b:Guid>
    <b:Title>Where Does Money Come From? A Guide to the UK Monetary and Banking System.</b:Title>
    <b:Year>2011</b:Year>
    <b:City>London</b:City>
    <b:Publisher>New Economics Foundation</b:Publisher>
    <b:Author>
      <b:Author>
        <b:NameList>
          <b:Person>
            <b:Last>Ryan-Collins</b:Last>
            <b:First>Josh</b:First>
          </b:Person>
          <b:Person>
            <b:Last>Greenham</b:Last>
            <b:First>Tony</b:First>
          </b:Person>
          <b:Person>
            <b:Last>Werner</b:Last>
            <b:First>Richard</b:First>
          </b:Person>
          <b:Person>
            <b:Last>Jackson</b:Last>
            <b:First>Andrew</b:First>
          </b:Person>
        </b:NameList>
      </b:Author>
    </b:Author>
    <b:RefOrder>1</b:RefOrder>
  </b:Source>
  <b:Source>
    <b:Tag>Fin18</b:Tag>
    <b:SourceType>DocumentFromInternetSite</b:SourceType>
    <b:Guid>{0B2C8ABF-10C0-47DB-8C9F-A9E4EE376998}</b:Guid>
    <b:Title>Barclays charged a second time over Qatar cash injection</b:Title>
    <b:Year>2018</b:Year>
    <b:City>London</b:City>
    <b:Author>
      <b:Author>
        <b:Corporate>Financial Times</b:Corporate>
      </b:Author>
    </b:Author>
    <b:CountryRegion>England</b:CountryRegion>
    <b:Month>February</b:Month>
    <b:Day>12th</b:Day>
    <b:InternetSiteTitle>Financial Times</b:InternetSiteTitle>
    <b:URL>https://www.ft.com/content/9eb75568-0fcf-11e8-8cb6-b9ccc4c4dbbb</b:URL>
    <b:RefOrder>6</b:RefOrder>
  </b:Source>
  <b:Source>
    <b:Tag>Ban18</b:Tag>
    <b:SourceType>DocumentFromInternetSite</b:SourceType>
    <b:Guid>{CAFFCC28-566A-4EF2-B353-F4D269CAFC28}</b:Guid>
    <b:Author>
      <b:Author>
        <b:Corporate>Bank of England</b:Corporate>
      </b:Author>
    </b:Author>
    <b:Title>Bank of England Database</b:Title>
    <b:InternetSiteTitle>Bank of England</b:InternetSiteTitle>
    <b:Year>2018</b:Year>
    <b:Month>May</b:Month>
    <b:Day>14th</b:Day>
    <b:URL>https://www.bankofengland.co.uk/boeapps/database/</b:URL>
    <b:RefOrder>2</b:RefOrder>
  </b:Source>
</b:Sources>
</file>

<file path=customXml/itemProps1.xml><?xml version="1.0" encoding="utf-8"?>
<ds:datastoreItem xmlns:ds="http://schemas.openxmlformats.org/officeDocument/2006/customXml" ds:itemID="{B49342E0-6257-4295-BE9A-C1CBDE06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6</Pages>
  <Words>2233</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creation theory of banking</dc:title>
  <dc:subject/>
  <dc:creator>Maurice Starkey</dc:creator>
  <cp:keywords>finance, banking</cp:keywords>
  <dc:description/>
  <cp:lastModifiedBy>Martin Poulter</cp:lastModifiedBy>
  <cp:revision>114</cp:revision>
  <dcterms:created xsi:type="dcterms:W3CDTF">2018-04-26T10:22:00Z</dcterms:created>
  <dcterms:modified xsi:type="dcterms:W3CDTF">2018-05-31T14:33:00Z</dcterms:modified>
</cp:coreProperties>
</file>